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1526"/>
        <w:gridCol w:w="5765"/>
        <w:gridCol w:w="1771"/>
      </w:tblGrid>
      <w:tr w:rsidR="005863CE" w:rsidRPr="00E53DD9" w14:paraId="43DD6F4C" w14:textId="77777777" w:rsidTr="005863CE">
        <w:trPr>
          <w:trHeight w:val="876"/>
        </w:trPr>
        <w:tc>
          <w:tcPr>
            <w:tcW w:w="7291" w:type="dxa"/>
            <w:gridSpan w:val="2"/>
            <w:tcBorders>
              <w:bottom w:val="single" w:sz="4" w:space="0" w:color="auto"/>
            </w:tcBorders>
            <w:vAlign w:val="center"/>
          </w:tcPr>
          <w:p w14:paraId="278451E9" w14:textId="69448DA6" w:rsidR="005863CE" w:rsidRPr="00E53DD9" w:rsidRDefault="005863CE" w:rsidP="00127EEF">
            <w:pPr>
              <w:rPr>
                <w:rFonts w:ascii="Arial" w:hAnsi="Arial" w:cs="Arial"/>
              </w:rPr>
            </w:pPr>
            <w:r w:rsidRPr="005F68EB">
              <w:rPr>
                <w:rFonts w:ascii="Arial" w:hAnsi="Arial" w:cs="Arial"/>
                <w:b/>
                <w:bCs/>
              </w:rPr>
              <w:t>Entité émettrice</w:t>
            </w:r>
            <w:r w:rsidRPr="00E53DD9">
              <w:rPr>
                <w:rFonts w:ascii="Arial" w:hAnsi="Arial" w:cs="Arial"/>
              </w:rPr>
              <w:t xml:space="preserve"> : </w:t>
            </w:r>
            <w:r w:rsidR="006F4436">
              <w:rPr>
                <w:rFonts w:ascii="Arial" w:hAnsi="Arial" w:cs="Arial"/>
              </w:rPr>
              <w:t>DPMI</w:t>
            </w:r>
          </w:p>
          <w:p w14:paraId="1A471876" w14:textId="17877FBC" w:rsidR="005863CE" w:rsidRDefault="005863CE" w:rsidP="00127EEF">
            <w:pPr>
              <w:rPr>
                <w:rFonts w:ascii="Arial" w:hAnsi="Arial" w:cs="Arial"/>
              </w:rPr>
            </w:pPr>
            <w:r w:rsidRPr="005F68EB">
              <w:rPr>
                <w:rFonts w:ascii="Arial" w:hAnsi="Arial" w:cs="Arial"/>
                <w:b/>
                <w:bCs/>
              </w:rPr>
              <w:t>Nature du Document :</w:t>
            </w:r>
            <w:r w:rsidRPr="00E53DD9">
              <w:rPr>
                <w:rFonts w:ascii="Arial" w:hAnsi="Arial" w:cs="Arial"/>
              </w:rPr>
              <w:t xml:space="preserve"> </w:t>
            </w:r>
            <w:r w:rsidR="006F4436" w:rsidRPr="006F4436">
              <w:rPr>
                <w:rFonts w:ascii="Arial" w:hAnsi="Arial" w:cs="Arial"/>
              </w:rPr>
              <w:t>Note technique Chapeau</w:t>
            </w:r>
          </w:p>
          <w:p w14:paraId="34821EEA" w14:textId="77777777" w:rsidR="005863CE" w:rsidRPr="00E53DD9" w:rsidRDefault="005863CE" w:rsidP="00127EEF">
            <w:pPr>
              <w:rPr>
                <w:rFonts w:ascii="Arial" w:hAnsi="Arial" w:cs="Arial"/>
              </w:rPr>
            </w:pPr>
            <w:r>
              <w:rPr>
                <w:rFonts w:ascii="Arial" w:hAnsi="Arial" w:cs="Arial"/>
                <w:b/>
                <w:bCs/>
              </w:rPr>
              <w:t>Référence d</w:t>
            </w:r>
            <w:r w:rsidRPr="005F68EB">
              <w:rPr>
                <w:rFonts w:ascii="Arial" w:hAnsi="Arial" w:cs="Arial"/>
                <w:b/>
                <w:bCs/>
              </w:rPr>
              <w:t>e la maquette</w:t>
            </w:r>
            <w:r w:rsidRPr="005F68EB">
              <w:rPr>
                <w:rFonts w:ascii="Arial" w:hAnsi="Arial" w:cs="Arial"/>
              </w:rPr>
              <w:t xml:space="preserve"> : FOR-ACHAT-DA-17-01230 </w:t>
            </w:r>
            <w:r>
              <w:rPr>
                <w:rFonts w:ascii="Arial" w:hAnsi="Arial" w:cs="Arial"/>
              </w:rPr>
              <w:t>NSPA 2025</w:t>
            </w:r>
          </w:p>
        </w:tc>
        <w:tc>
          <w:tcPr>
            <w:tcW w:w="1771" w:type="dxa"/>
            <w:tcBorders>
              <w:bottom w:val="single" w:sz="4" w:space="0" w:color="auto"/>
            </w:tcBorders>
            <w:vAlign w:val="center"/>
          </w:tcPr>
          <w:p w14:paraId="7EE8CBC0" w14:textId="47F369F4" w:rsidR="005863CE" w:rsidRPr="00E53DD9" w:rsidRDefault="005863CE" w:rsidP="00127EEF">
            <w:pPr>
              <w:rPr>
                <w:rFonts w:ascii="Arial" w:hAnsi="Arial" w:cs="Arial"/>
              </w:rPr>
            </w:pPr>
            <w:r w:rsidRPr="005F68EB">
              <w:rPr>
                <w:rFonts w:ascii="Arial" w:hAnsi="Arial" w:cs="Arial"/>
                <w:b/>
                <w:bCs/>
              </w:rPr>
              <w:t>Identifiant métier :</w:t>
            </w:r>
            <w:r w:rsidRPr="00E53DD9">
              <w:rPr>
                <w:rFonts w:ascii="Arial" w:hAnsi="Arial" w:cs="Arial"/>
              </w:rPr>
              <w:t xml:space="preserve"> </w:t>
            </w:r>
            <w:r w:rsidR="006F4436">
              <w:rPr>
                <w:rFonts w:ascii="Arial" w:hAnsi="Arial" w:cs="Arial"/>
              </w:rPr>
              <w:t>DPMI</w:t>
            </w:r>
          </w:p>
        </w:tc>
      </w:tr>
      <w:tr w:rsidR="005863CE" w:rsidRPr="00AC59D2" w14:paraId="4018455A" w14:textId="77777777" w:rsidTr="005863CE">
        <w:trPr>
          <w:trHeight w:val="1873"/>
        </w:trPr>
        <w:tc>
          <w:tcPr>
            <w:tcW w:w="1526" w:type="dxa"/>
            <w:tcBorders>
              <w:top w:val="nil"/>
              <w:left w:val="single" w:sz="4" w:space="0" w:color="auto"/>
              <w:right w:val="single" w:sz="4" w:space="0" w:color="auto"/>
            </w:tcBorders>
            <w:vAlign w:val="bottom"/>
          </w:tcPr>
          <w:p w14:paraId="21039BD7" w14:textId="77777777" w:rsidR="005863CE" w:rsidRDefault="005863CE" w:rsidP="00127EEF">
            <w:pPr>
              <w:jc w:val="both"/>
              <w:rPr>
                <w:rFonts w:ascii="Arial" w:hAnsi="Arial" w:cs="Arial"/>
                <w:b/>
                <w:bCs/>
              </w:rPr>
            </w:pPr>
          </w:p>
          <w:p w14:paraId="227E49CB" w14:textId="77777777" w:rsidR="005863CE" w:rsidRDefault="005863CE" w:rsidP="00127EEF">
            <w:pPr>
              <w:jc w:val="both"/>
              <w:rPr>
                <w:rFonts w:ascii="Arial" w:hAnsi="Arial" w:cs="Arial"/>
                <w:b/>
                <w:bCs/>
              </w:rPr>
            </w:pPr>
          </w:p>
          <w:p w14:paraId="61E1BD8C" w14:textId="77777777" w:rsidR="005863CE" w:rsidRDefault="005863CE" w:rsidP="00127EEF">
            <w:pPr>
              <w:jc w:val="both"/>
              <w:rPr>
                <w:rFonts w:ascii="Arial" w:hAnsi="Arial" w:cs="Arial"/>
                <w:b/>
                <w:bCs/>
              </w:rPr>
            </w:pPr>
          </w:p>
          <w:p w14:paraId="2C3184AB" w14:textId="77777777" w:rsidR="005863CE" w:rsidRDefault="005863CE" w:rsidP="00127EEF">
            <w:pPr>
              <w:jc w:val="both"/>
              <w:rPr>
                <w:rFonts w:ascii="Arial" w:hAnsi="Arial" w:cs="Arial"/>
                <w:b/>
                <w:bCs/>
              </w:rPr>
            </w:pPr>
          </w:p>
          <w:p w14:paraId="02BB61AD" w14:textId="77777777" w:rsidR="005863CE" w:rsidRDefault="005863CE" w:rsidP="00127EEF">
            <w:pPr>
              <w:jc w:val="both"/>
              <w:rPr>
                <w:rFonts w:ascii="Arial" w:hAnsi="Arial" w:cs="Arial"/>
                <w:b/>
                <w:bCs/>
              </w:rPr>
            </w:pPr>
          </w:p>
          <w:p w14:paraId="699EDD3F" w14:textId="77777777" w:rsidR="005863CE" w:rsidRDefault="005863CE" w:rsidP="00127EEF">
            <w:pPr>
              <w:jc w:val="both"/>
              <w:rPr>
                <w:rFonts w:ascii="Arial" w:hAnsi="Arial" w:cs="Arial"/>
                <w:b/>
                <w:bCs/>
              </w:rPr>
            </w:pPr>
            <w:r w:rsidRPr="00E53DD9">
              <w:rPr>
                <w:rFonts w:ascii="Arial" w:hAnsi="Arial" w:cs="Arial"/>
                <w:b/>
                <w:bCs/>
              </w:rPr>
              <w:t>Accessibilité</w:t>
            </w:r>
          </w:p>
          <w:p w14:paraId="0E9AAAF6" w14:textId="77777777" w:rsidR="005863CE" w:rsidRDefault="005863CE" w:rsidP="00127EEF">
            <w:pPr>
              <w:jc w:val="both"/>
              <w:rPr>
                <w:rFonts w:ascii="Arial" w:hAnsi="Arial" w:cs="Arial"/>
              </w:rPr>
            </w:pPr>
            <w:r w:rsidRPr="00E53DD9">
              <w:rPr>
                <w:rFonts w:ascii="Arial" w:hAnsi="Arial" w:cs="Arial"/>
              </w:rPr>
              <w:t>Restreinte</w:t>
            </w:r>
          </w:p>
          <w:p w14:paraId="5E9D4727" w14:textId="77777777" w:rsidR="005863CE" w:rsidRDefault="005863CE" w:rsidP="00127EEF">
            <w:pPr>
              <w:jc w:val="both"/>
              <w:rPr>
                <w:rFonts w:ascii="Arial" w:hAnsi="Arial" w:cs="Arial"/>
                <w:sz w:val="16"/>
                <w:szCs w:val="16"/>
              </w:rPr>
            </w:pPr>
          </w:p>
        </w:tc>
        <w:tc>
          <w:tcPr>
            <w:tcW w:w="5765" w:type="dxa"/>
            <w:tcBorders>
              <w:top w:val="nil"/>
              <w:left w:val="single" w:sz="4" w:space="0" w:color="auto"/>
              <w:bottom w:val="single" w:sz="4" w:space="0" w:color="auto"/>
              <w:right w:val="single" w:sz="4" w:space="0" w:color="auto"/>
            </w:tcBorders>
            <w:vAlign w:val="center"/>
          </w:tcPr>
          <w:p w14:paraId="09415FE7" w14:textId="7207ED58" w:rsidR="005863CE" w:rsidRDefault="005863CE" w:rsidP="00127EEF">
            <w:pPr>
              <w:jc w:val="center"/>
              <w:rPr>
                <w:rFonts w:ascii="Arial" w:hAnsi="Arial" w:cs="Arial"/>
                <w:sz w:val="28"/>
                <w:szCs w:val="28"/>
              </w:rPr>
            </w:pPr>
            <w:r>
              <w:rPr>
                <w:rFonts w:ascii="Arial" w:hAnsi="Arial" w:cs="Arial"/>
                <w:sz w:val="28"/>
                <w:szCs w:val="28"/>
              </w:rPr>
              <w:t>Note technique Chapeau</w:t>
            </w:r>
          </w:p>
          <w:p w14:paraId="52BF8E51" w14:textId="40E76CB0" w:rsidR="005863CE" w:rsidRPr="00AC59D2" w:rsidRDefault="005863CE" w:rsidP="00127EEF">
            <w:pPr>
              <w:jc w:val="center"/>
              <w:rPr>
                <w:rFonts w:ascii="Arial" w:hAnsi="Arial" w:cs="Arial"/>
                <w:sz w:val="16"/>
                <w:szCs w:val="16"/>
              </w:rPr>
            </w:pPr>
            <w:r w:rsidRPr="00AC59D2">
              <w:rPr>
                <w:rFonts w:ascii="Arial" w:hAnsi="Arial" w:cs="Arial"/>
                <w:sz w:val="28"/>
                <w:szCs w:val="28"/>
              </w:rPr>
              <w:t xml:space="preserve">Renouvellement des actifs IT </w:t>
            </w:r>
            <w:r>
              <w:rPr>
                <w:rFonts w:ascii="Arial" w:hAnsi="Arial" w:cs="Arial"/>
                <w:sz w:val="28"/>
                <w:szCs w:val="28"/>
              </w:rPr>
              <w:t xml:space="preserve">- </w:t>
            </w:r>
            <w:r w:rsidRPr="00AC59D2">
              <w:rPr>
                <w:rFonts w:ascii="Arial" w:hAnsi="Arial" w:cs="Arial"/>
                <w:sz w:val="28"/>
                <w:szCs w:val="28"/>
              </w:rPr>
              <w:t>IFA1</w:t>
            </w:r>
          </w:p>
        </w:tc>
        <w:tc>
          <w:tcPr>
            <w:tcW w:w="1771" w:type="dxa"/>
            <w:tcBorders>
              <w:top w:val="nil"/>
              <w:left w:val="single" w:sz="4" w:space="0" w:color="auto"/>
              <w:right w:val="single" w:sz="4" w:space="0" w:color="auto"/>
            </w:tcBorders>
            <w:vAlign w:val="center"/>
          </w:tcPr>
          <w:p w14:paraId="19C38987" w14:textId="77777777" w:rsidR="005863CE" w:rsidRPr="00AC59D2" w:rsidRDefault="005863CE" w:rsidP="00127EEF">
            <w:pPr>
              <w:rPr>
                <w:rFonts w:ascii="Arial" w:hAnsi="Arial" w:cs="Arial"/>
                <w:b/>
                <w:bCs/>
                <w:lang w:eastAsia="en-US"/>
              </w:rPr>
            </w:pPr>
          </w:p>
          <w:p w14:paraId="7D7FBA2F" w14:textId="77777777" w:rsidR="005863CE" w:rsidRPr="00AC59D2" w:rsidRDefault="005863CE" w:rsidP="00127EEF">
            <w:pPr>
              <w:rPr>
                <w:rFonts w:ascii="Arial" w:hAnsi="Arial" w:cs="Arial"/>
                <w:b/>
                <w:bCs/>
                <w:lang w:eastAsia="en-US"/>
              </w:rPr>
            </w:pPr>
          </w:p>
          <w:p w14:paraId="28169B7B" w14:textId="77777777" w:rsidR="005863CE" w:rsidRPr="00AC59D2" w:rsidRDefault="005863CE" w:rsidP="00127EEF">
            <w:pPr>
              <w:rPr>
                <w:rFonts w:ascii="Arial" w:hAnsi="Arial" w:cs="Arial"/>
                <w:b/>
                <w:bCs/>
                <w:lang w:eastAsia="en-US"/>
              </w:rPr>
            </w:pPr>
            <w:r w:rsidRPr="00AC59D2">
              <w:rPr>
                <w:rFonts w:ascii="Arial" w:hAnsi="Arial" w:cs="Arial"/>
                <w:b/>
                <w:bCs/>
                <w:lang w:eastAsia="en-US"/>
              </w:rPr>
              <w:t>Numéro LISA :</w:t>
            </w:r>
          </w:p>
          <w:p w14:paraId="065781A6" w14:textId="77777777" w:rsidR="005863CE" w:rsidRPr="00AC59D2" w:rsidRDefault="005863CE" w:rsidP="00127EEF">
            <w:pPr>
              <w:rPr>
                <w:rFonts w:ascii="Arial" w:hAnsi="Arial" w:cs="Arial"/>
                <w:lang w:eastAsia="en-US"/>
              </w:rPr>
            </w:pPr>
            <w:r>
              <w:rPr>
                <w:rFonts w:ascii="Arial" w:hAnsi="Arial" w:cs="Arial"/>
                <w:lang w:eastAsia="en-US"/>
              </w:rPr>
              <w:t>25187</w:t>
            </w:r>
          </w:p>
          <w:p w14:paraId="6615671D" w14:textId="77777777" w:rsidR="005863CE" w:rsidRPr="00AC59D2" w:rsidRDefault="005863CE" w:rsidP="00127EEF">
            <w:pPr>
              <w:rPr>
                <w:rFonts w:ascii="Arial" w:hAnsi="Arial" w:cs="Arial"/>
                <w:b/>
                <w:bCs/>
                <w:lang w:eastAsia="en-US"/>
              </w:rPr>
            </w:pPr>
          </w:p>
          <w:p w14:paraId="5E21AB02" w14:textId="77777777" w:rsidR="005863CE" w:rsidRPr="00AC59D2" w:rsidRDefault="005863CE" w:rsidP="00127EEF">
            <w:pPr>
              <w:rPr>
                <w:rFonts w:ascii="Arial" w:hAnsi="Arial" w:cs="Arial"/>
                <w:lang w:eastAsia="en-US"/>
              </w:rPr>
            </w:pPr>
            <w:r w:rsidRPr="00AC59D2">
              <w:rPr>
                <w:rFonts w:ascii="Arial" w:hAnsi="Arial" w:cs="Arial"/>
                <w:b/>
                <w:bCs/>
                <w:lang w:eastAsia="en-US"/>
              </w:rPr>
              <w:t>Lieu de conservation</w:t>
            </w:r>
            <w:r w:rsidRPr="00AC59D2">
              <w:rPr>
                <w:rFonts w:ascii="Arial" w:hAnsi="Arial" w:cs="Arial"/>
                <w:lang w:eastAsia="en-US"/>
              </w:rPr>
              <w:t> : DOKI</w:t>
            </w:r>
          </w:p>
          <w:p w14:paraId="4CAA6602" w14:textId="77777777" w:rsidR="005863CE" w:rsidRPr="00AC59D2" w:rsidRDefault="005863CE" w:rsidP="00127EEF">
            <w:pPr>
              <w:rPr>
                <w:rFonts w:ascii="Arial" w:hAnsi="Arial" w:cs="Arial"/>
                <w:sz w:val="16"/>
                <w:szCs w:val="16"/>
              </w:rPr>
            </w:pPr>
          </w:p>
        </w:tc>
      </w:tr>
    </w:tbl>
    <w:p w14:paraId="38DE146A" w14:textId="77777777" w:rsidR="005863CE" w:rsidRDefault="005863CE" w:rsidP="00127EEF">
      <w:pPr>
        <w:spacing w:line="240" w:lineRule="auto"/>
        <w:rPr>
          <w:rFonts w:asciiTheme="majorHAnsi" w:hAnsiTheme="majorHAnsi" w:cstheme="majorHAnsi"/>
          <w:b/>
          <w:bCs/>
        </w:rPr>
      </w:pPr>
    </w:p>
    <w:p w14:paraId="569BC91C" w14:textId="3AC1F123" w:rsidR="00B5168F" w:rsidRPr="00B5168F" w:rsidRDefault="00B5168F" w:rsidP="00127EEF">
      <w:pPr>
        <w:spacing w:line="240" w:lineRule="auto"/>
        <w:rPr>
          <w:rFonts w:asciiTheme="majorHAnsi" w:hAnsiTheme="majorHAnsi" w:cstheme="majorHAnsi"/>
          <w:b/>
          <w:bCs/>
          <w:color w:val="0070C0"/>
        </w:rPr>
      </w:pPr>
      <w:r w:rsidRPr="00B5168F">
        <w:rPr>
          <w:rFonts w:asciiTheme="majorHAnsi" w:hAnsiTheme="majorHAnsi" w:cstheme="majorHAnsi"/>
          <w:b/>
          <w:bCs/>
          <w:color w:val="0070C0"/>
        </w:rPr>
        <w:t>1. Contexte et objectifs du projet</w:t>
      </w:r>
    </w:p>
    <w:p w14:paraId="317F2DB6" w14:textId="40A13B89" w:rsidR="00B5168F" w:rsidRPr="00B5168F" w:rsidRDefault="00B5168F" w:rsidP="00127EEF">
      <w:pPr>
        <w:spacing w:line="240" w:lineRule="auto"/>
        <w:ind w:firstLine="708"/>
        <w:jc w:val="both"/>
        <w:rPr>
          <w:rFonts w:asciiTheme="minorHAnsi" w:hAnsiTheme="minorHAnsi" w:cstheme="minorHAnsi"/>
        </w:rPr>
      </w:pPr>
      <w:r w:rsidRPr="00B5168F">
        <w:rPr>
          <w:rFonts w:asciiTheme="minorHAnsi" w:hAnsiTheme="minorHAnsi" w:cstheme="minorHAnsi"/>
        </w:rPr>
        <w:t xml:space="preserve">La station de conversion </w:t>
      </w:r>
      <w:r w:rsidR="00C24795">
        <w:rPr>
          <w:rFonts w:asciiTheme="minorHAnsi" w:hAnsiTheme="minorHAnsi" w:cstheme="minorHAnsi"/>
        </w:rPr>
        <w:t>HVDC (</w:t>
      </w:r>
      <w:r w:rsidR="00C24795" w:rsidRPr="00C24795">
        <w:rPr>
          <w:rFonts w:asciiTheme="minorHAnsi" w:hAnsiTheme="minorHAnsi" w:cstheme="minorHAnsi"/>
        </w:rPr>
        <w:t xml:space="preserve">High Voltage Direct </w:t>
      </w:r>
      <w:proofErr w:type="spellStart"/>
      <w:r w:rsidR="00C24795" w:rsidRPr="00C24795">
        <w:rPr>
          <w:rFonts w:asciiTheme="minorHAnsi" w:hAnsiTheme="minorHAnsi" w:cstheme="minorHAnsi"/>
        </w:rPr>
        <w:t>Curren</w:t>
      </w:r>
      <w:r w:rsidR="00C24795">
        <w:rPr>
          <w:rFonts w:asciiTheme="minorHAnsi" w:hAnsiTheme="minorHAnsi" w:cstheme="minorHAnsi"/>
        </w:rPr>
        <w:t>t</w:t>
      </w:r>
      <w:proofErr w:type="spellEnd"/>
      <w:r w:rsidR="00C24795">
        <w:rPr>
          <w:rFonts w:asciiTheme="minorHAnsi" w:hAnsiTheme="minorHAnsi" w:cstheme="minorHAnsi"/>
        </w:rPr>
        <w:t>)</w:t>
      </w:r>
      <w:r w:rsidRPr="00B5168F">
        <w:rPr>
          <w:rFonts w:asciiTheme="minorHAnsi" w:hAnsiTheme="minorHAnsi" w:cstheme="minorHAnsi"/>
        </w:rPr>
        <w:t xml:space="preserve"> IFA1</w:t>
      </w:r>
      <w:r w:rsidR="00C24795">
        <w:rPr>
          <w:rFonts w:asciiTheme="minorHAnsi" w:hAnsiTheme="minorHAnsi" w:cstheme="minorHAnsi"/>
        </w:rPr>
        <w:t xml:space="preserve"> (Interconnexion France-Angleterre 1)</w:t>
      </w:r>
      <w:r w:rsidRPr="00B5168F">
        <w:rPr>
          <w:rFonts w:asciiTheme="minorHAnsi" w:hAnsiTheme="minorHAnsi" w:cstheme="minorHAnsi"/>
        </w:rPr>
        <w:t>, située sur le site des Mandarins à Bonningues-lès-Calais (62340), assure un transit de puissance de 2 GW entre la France et l’Angleterre. Elle est constituée de deux bipôles de 1 GW</w:t>
      </w:r>
      <w:r w:rsidR="00127EEF">
        <w:rPr>
          <w:rFonts w:asciiTheme="minorHAnsi" w:hAnsiTheme="minorHAnsi" w:cstheme="minorHAnsi"/>
        </w:rPr>
        <w:t xml:space="preserve">, </w:t>
      </w:r>
      <w:r w:rsidRPr="00B5168F">
        <w:rPr>
          <w:rFonts w:asciiTheme="minorHAnsi" w:hAnsiTheme="minorHAnsi" w:cstheme="minorHAnsi"/>
        </w:rPr>
        <w:t>chacun piloté par un contrôle-commande principal, entièrement redondé.</w:t>
      </w:r>
    </w:p>
    <w:p w14:paraId="7709603A" w14:textId="77777777" w:rsidR="00B5168F" w:rsidRPr="00B5168F" w:rsidRDefault="00B5168F" w:rsidP="00127EEF">
      <w:pPr>
        <w:spacing w:line="240" w:lineRule="auto"/>
        <w:jc w:val="both"/>
        <w:rPr>
          <w:rFonts w:asciiTheme="minorHAnsi" w:hAnsiTheme="minorHAnsi" w:cstheme="minorHAnsi"/>
        </w:rPr>
      </w:pPr>
      <w:r w:rsidRPr="00B5168F">
        <w:rPr>
          <w:rFonts w:asciiTheme="minorHAnsi" w:hAnsiTheme="minorHAnsi" w:cstheme="minorHAnsi"/>
        </w:rPr>
        <w:t>Le renouvellement complet du contrôle-commande de la station IFA1 est prévu à l’horizon 2036. Dans l’attente, RTE engage un programme de travaux d’anticipation ciblés afin de garantir la performance et la maintenabilité des systèmes IT supportant le contrôle</w:t>
      </w:r>
      <w:r w:rsidRPr="00B5168F">
        <w:rPr>
          <w:rFonts w:asciiTheme="minorHAnsi" w:hAnsiTheme="minorHAnsi" w:cstheme="minorHAnsi"/>
        </w:rPr>
        <w:noBreakHyphen/>
        <w:t>commande.</w:t>
      </w:r>
    </w:p>
    <w:p w14:paraId="3DBD8B5B" w14:textId="3109A12C" w:rsidR="00B5168F" w:rsidRPr="00B5168F" w:rsidRDefault="00B5168F" w:rsidP="00127EEF">
      <w:pPr>
        <w:spacing w:line="240" w:lineRule="auto"/>
        <w:rPr>
          <w:rFonts w:asciiTheme="minorHAnsi" w:hAnsiTheme="minorHAnsi" w:cstheme="minorHAnsi"/>
        </w:rPr>
      </w:pPr>
      <w:r w:rsidRPr="00B5168F">
        <w:rPr>
          <w:rFonts w:asciiTheme="minorHAnsi" w:hAnsiTheme="minorHAnsi" w:cstheme="minorHAnsi"/>
        </w:rPr>
        <w:t>Le présent appel d’offre vise la </w:t>
      </w:r>
      <w:r w:rsidRPr="00B5168F">
        <w:rPr>
          <w:rFonts w:asciiTheme="minorHAnsi" w:hAnsiTheme="minorHAnsi" w:cstheme="minorHAnsi"/>
          <w:b/>
          <w:bCs/>
        </w:rPr>
        <w:t>fourniture, les études détaillées, l’intégration et les travaux</w:t>
      </w:r>
      <w:r w:rsidRPr="00B5168F">
        <w:rPr>
          <w:rFonts w:asciiTheme="minorHAnsi" w:hAnsiTheme="minorHAnsi" w:cstheme="minorHAnsi"/>
        </w:rPr>
        <w:t> relatifs à deux modules :</w:t>
      </w:r>
    </w:p>
    <w:p w14:paraId="2B97E652" w14:textId="59EC29C5" w:rsidR="00B5168F" w:rsidRPr="00B5168F" w:rsidRDefault="00B5168F" w:rsidP="00127EEF">
      <w:pPr>
        <w:numPr>
          <w:ilvl w:val="0"/>
          <w:numId w:val="1"/>
        </w:numPr>
        <w:spacing w:after="0" w:line="240" w:lineRule="auto"/>
        <w:rPr>
          <w:rFonts w:asciiTheme="minorHAnsi" w:hAnsiTheme="minorHAnsi" w:cstheme="minorHAnsi"/>
        </w:rPr>
      </w:pPr>
      <w:r w:rsidRPr="00B5168F">
        <w:rPr>
          <w:rFonts w:asciiTheme="minorHAnsi" w:hAnsiTheme="minorHAnsi" w:cstheme="minorHAnsi"/>
          <w:b/>
          <w:bCs/>
        </w:rPr>
        <w:t>M</w:t>
      </w:r>
      <w:r w:rsidR="005863CE">
        <w:rPr>
          <w:rFonts w:asciiTheme="minorHAnsi" w:hAnsiTheme="minorHAnsi" w:cstheme="minorHAnsi"/>
          <w:b/>
          <w:bCs/>
        </w:rPr>
        <w:t xml:space="preserve">ODULE </w:t>
      </w:r>
      <w:r w:rsidRPr="00B5168F">
        <w:rPr>
          <w:rFonts w:asciiTheme="minorHAnsi" w:hAnsiTheme="minorHAnsi" w:cstheme="minorHAnsi"/>
          <w:b/>
          <w:bCs/>
        </w:rPr>
        <w:t xml:space="preserve">1 : </w:t>
      </w:r>
      <w:r w:rsidRPr="00B5168F">
        <w:rPr>
          <w:rFonts w:asciiTheme="minorHAnsi" w:hAnsiTheme="minorHAnsi" w:cstheme="minorHAnsi"/>
        </w:rPr>
        <w:t>Renouvellement des équipements réseau CCN HVDC</w:t>
      </w:r>
    </w:p>
    <w:p w14:paraId="7D6B9D78" w14:textId="0E7FE555" w:rsidR="00B5168F" w:rsidRPr="00B5168F" w:rsidRDefault="00B5168F" w:rsidP="00127EEF">
      <w:pPr>
        <w:numPr>
          <w:ilvl w:val="0"/>
          <w:numId w:val="1"/>
        </w:numPr>
        <w:spacing w:after="0" w:line="240" w:lineRule="auto"/>
        <w:rPr>
          <w:rFonts w:asciiTheme="minorHAnsi" w:hAnsiTheme="minorHAnsi" w:cstheme="minorHAnsi"/>
        </w:rPr>
      </w:pPr>
      <w:r w:rsidRPr="00B5168F">
        <w:rPr>
          <w:rFonts w:asciiTheme="minorHAnsi" w:hAnsiTheme="minorHAnsi" w:cstheme="minorHAnsi"/>
          <w:b/>
          <w:bCs/>
        </w:rPr>
        <w:t>M</w:t>
      </w:r>
      <w:r w:rsidR="005863CE">
        <w:rPr>
          <w:rFonts w:asciiTheme="minorHAnsi" w:hAnsiTheme="minorHAnsi" w:cstheme="minorHAnsi"/>
          <w:b/>
          <w:bCs/>
        </w:rPr>
        <w:t>ODULE</w:t>
      </w:r>
      <w:r w:rsidRPr="00B5168F">
        <w:rPr>
          <w:rFonts w:asciiTheme="minorHAnsi" w:hAnsiTheme="minorHAnsi" w:cstheme="minorHAnsi"/>
          <w:b/>
          <w:bCs/>
        </w:rPr>
        <w:t xml:space="preserve"> 2 : </w:t>
      </w:r>
      <w:r w:rsidRPr="00B5168F">
        <w:rPr>
          <w:rFonts w:asciiTheme="minorHAnsi" w:hAnsiTheme="minorHAnsi" w:cstheme="minorHAnsi"/>
        </w:rPr>
        <w:t>Virtualisation de l’IHM HVDC de la station IFA1</w:t>
      </w:r>
    </w:p>
    <w:p w14:paraId="228C1F7B" w14:textId="0B63B295" w:rsidR="00127EEF" w:rsidRPr="00127EEF" w:rsidRDefault="00127EEF" w:rsidP="00127EEF">
      <w:pPr>
        <w:spacing w:line="240" w:lineRule="auto"/>
        <w:rPr>
          <w:rFonts w:asciiTheme="minorHAnsi" w:hAnsiTheme="minorHAnsi" w:cstheme="minorHAnsi"/>
        </w:rPr>
      </w:pPr>
      <w:r>
        <w:rPr>
          <w:rFonts w:asciiTheme="minorHAnsi" w:hAnsiTheme="minorHAnsi" w:cstheme="minorHAnsi"/>
        </w:rPr>
        <w:br/>
      </w:r>
      <w:r w:rsidR="00B5168F" w:rsidRPr="00B5168F">
        <w:rPr>
          <w:rFonts w:asciiTheme="minorHAnsi" w:hAnsiTheme="minorHAnsi" w:cstheme="minorHAnsi"/>
        </w:rPr>
        <w:t>La </w:t>
      </w:r>
      <w:r w:rsidR="00B5168F" w:rsidRPr="00B5168F">
        <w:rPr>
          <w:rFonts w:asciiTheme="minorHAnsi" w:hAnsiTheme="minorHAnsi" w:cstheme="minorHAnsi"/>
          <w:b/>
          <w:bCs/>
        </w:rPr>
        <w:t>mise en service projetée</w:t>
      </w:r>
      <w:r w:rsidR="00B5168F" w:rsidRPr="00B5168F">
        <w:rPr>
          <w:rFonts w:asciiTheme="minorHAnsi" w:hAnsiTheme="minorHAnsi" w:cstheme="minorHAnsi"/>
        </w:rPr>
        <w:t xml:space="preserve"> de l’ensemble est prévue </w:t>
      </w:r>
      <w:r w:rsidR="005863CE">
        <w:rPr>
          <w:rFonts w:asciiTheme="minorHAnsi" w:hAnsiTheme="minorHAnsi" w:cstheme="minorHAnsi"/>
        </w:rPr>
        <w:t>à la</w:t>
      </w:r>
      <w:r w:rsidR="00B5168F" w:rsidRPr="00B5168F">
        <w:rPr>
          <w:rFonts w:asciiTheme="minorHAnsi" w:hAnsiTheme="minorHAnsi" w:cstheme="minorHAnsi"/>
        </w:rPr>
        <w:t> </w:t>
      </w:r>
      <w:r w:rsidR="005863CE">
        <w:rPr>
          <w:rFonts w:asciiTheme="minorHAnsi" w:hAnsiTheme="minorHAnsi" w:cstheme="minorHAnsi"/>
        </w:rPr>
        <w:t xml:space="preserve">fin </w:t>
      </w:r>
      <w:r w:rsidR="00B5168F" w:rsidRPr="00B5168F">
        <w:rPr>
          <w:rFonts w:asciiTheme="minorHAnsi" w:hAnsiTheme="minorHAnsi" w:cstheme="minorHAnsi"/>
          <w:b/>
          <w:bCs/>
        </w:rPr>
        <w:t>2ᵉ semestre 2027</w:t>
      </w:r>
      <w:r w:rsidR="00B5168F" w:rsidRPr="00B5168F">
        <w:rPr>
          <w:rFonts w:asciiTheme="minorHAnsi" w:hAnsiTheme="minorHAnsi" w:cstheme="minorHAnsi"/>
        </w:rPr>
        <w:t>.</w:t>
      </w:r>
      <w:r>
        <w:rPr>
          <w:rFonts w:asciiTheme="minorHAnsi" w:hAnsiTheme="minorHAnsi" w:cstheme="minorHAnsi"/>
        </w:rPr>
        <w:br/>
      </w:r>
    </w:p>
    <w:p w14:paraId="6D9C35C5" w14:textId="79B7FDAF" w:rsidR="00B5168F" w:rsidRPr="00B5168F" w:rsidRDefault="00B5168F" w:rsidP="00127EEF">
      <w:pPr>
        <w:spacing w:line="240" w:lineRule="auto"/>
        <w:rPr>
          <w:rFonts w:asciiTheme="majorHAnsi" w:hAnsiTheme="majorHAnsi" w:cstheme="majorHAnsi"/>
          <w:b/>
          <w:bCs/>
          <w:color w:val="0070C0"/>
        </w:rPr>
      </w:pPr>
      <w:r w:rsidRPr="00B5168F">
        <w:rPr>
          <w:rFonts w:asciiTheme="majorHAnsi" w:hAnsiTheme="majorHAnsi" w:cstheme="majorHAnsi"/>
          <w:b/>
          <w:bCs/>
          <w:color w:val="0070C0"/>
        </w:rPr>
        <w:t>2. M</w:t>
      </w:r>
      <w:r w:rsidR="005863CE" w:rsidRPr="00127EEF">
        <w:rPr>
          <w:rFonts w:asciiTheme="majorHAnsi" w:hAnsiTheme="majorHAnsi" w:cstheme="majorHAnsi"/>
          <w:b/>
          <w:bCs/>
          <w:color w:val="0070C0"/>
        </w:rPr>
        <w:t>ODULE</w:t>
      </w:r>
      <w:r w:rsidRPr="00B5168F">
        <w:rPr>
          <w:rFonts w:asciiTheme="majorHAnsi" w:hAnsiTheme="majorHAnsi" w:cstheme="majorHAnsi"/>
          <w:b/>
          <w:bCs/>
          <w:color w:val="0070C0"/>
        </w:rPr>
        <w:t xml:space="preserve"> 1 – Renouvellement des équipements réseau CCN HVDC</w:t>
      </w:r>
    </w:p>
    <w:p w14:paraId="32221EF0" w14:textId="77777777"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2.1. Objectif</w:t>
      </w:r>
    </w:p>
    <w:p w14:paraId="6209BCF2" w14:textId="77777777" w:rsidR="00B5168F" w:rsidRPr="00B5168F" w:rsidRDefault="00B5168F" w:rsidP="00127EEF">
      <w:pPr>
        <w:spacing w:line="240" w:lineRule="auto"/>
        <w:ind w:firstLine="708"/>
        <w:jc w:val="both"/>
        <w:rPr>
          <w:rFonts w:asciiTheme="majorHAnsi" w:hAnsiTheme="majorHAnsi" w:cstheme="majorHAnsi"/>
        </w:rPr>
      </w:pPr>
      <w:r w:rsidRPr="00B5168F">
        <w:rPr>
          <w:rFonts w:asciiTheme="majorHAnsi" w:hAnsiTheme="majorHAnsi" w:cstheme="majorHAnsi"/>
        </w:rPr>
        <w:t>Garantir la pérennité, la disponibilité et le support des infrastructures réseau CCN HVDC essentielles au fonctionnement de la station IFA1, en remplaçant les équipements obsolescents par une solution moderne, conforme aux référentiels RTE, sans dégrader les performances ni les niveaux de service existants.</w:t>
      </w:r>
    </w:p>
    <w:p w14:paraId="2AA26F00" w14:textId="77777777"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2.2. Périmètre technique</w:t>
      </w:r>
    </w:p>
    <w:p w14:paraId="348919BC" w14:textId="77777777" w:rsidR="00B5168F" w:rsidRPr="00B5168F" w:rsidRDefault="00B5168F" w:rsidP="00127EEF">
      <w:pPr>
        <w:spacing w:line="240" w:lineRule="auto"/>
        <w:rPr>
          <w:rFonts w:asciiTheme="majorHAnsi" w:hAnsiTheme="majorHAnsi" w:cstheme="majorHAnsi"/>
        </w:rPr>
      </w:pPr>
      <w:r w:rsidRPr="00B5168F">
        <w:rPr>
          <w:rFonts w:asciiTheme="majorHAnsi" w:hAnsiTheme="majorHAnsi" w:cstheme="majorHAnsi"/>
        </w:rPr>
        <w:t>Le module 1 porte sur le renouvellement des éléments suivants :</w:t>
      </w:r>
    </w:p>
    <w:p w14:paraId="0AAD06C2" w14:textId="6CB6E166" w:rsidR="00B5168F" w:rsidRPr="00B5168F" w:rsidRDefault="00B5168F" w:rsidP="00127EEF">
      <w:pPr>
        <w:numPr>
          <w:ilvl w:val="0"/>
          <w:numId w:val="2"/>
        </w:numPr>
        <w:spacing w:after="0" w:line="240" w:lineRule="auto"/>
        <w:rPr>
          <w:rFonts w:asciiTheme="majorHAnsi" w:hAnsiTheme="majorHAnsi" w:cstheme="majorHAnsi"/>
        </w:rPr>
      </w:pPr>
      <w:r w:rsidRPr="00B5168F">
        <w:rPr>
          <w:rFonts w:asciiTheme="majorHAnsi" w:hAnsiTheme="majorHAnsi" w:cstheme="majorHAnsi"/>
          <w:b/>
          <w:bCs/>
        </w:rPr>
        <w:t>Équipements de communication réseau</w:t>
      </w:r>
      <w:r w:rsidRPr="00B5168F">
        <w:rPr>
          <w:rFonts w:asciiTheme="majorHAnsi" w:hAnsiTheme="majorHAnsi" w:cstheme="majorHAnsi"/>
        </w:rPr>
        <w:t> (équipements actifs CCN HVDC et matériels associés</w:t>
      </w:r>
      <w:r w:rsidR="001A0848">
        <w:rPr>
          <w:rFonts w:asciiTheme="majorHAnsi" w:hAnsiTheme="majorHAnsi" w:cstheme="majorHAnsi"/>
        </w:rPr>
        <w:t>, quantitatif &gt; 200),</w:t>
      </w:r>
    </w:p>
    <w:p w14:paraId="2AE90291" w14:textId="77777777" w:rsidR="00B5168F" w:rsidRPr="00B5168F" w:rsidRDefault="00B5168F" w:rsidP="00127EEF">
      <w:pPr>
        <w:numPr>
          <w:ilvl w:val="0"/>
          <w:numId w:val="2"/>
        </w:numPr>
        <w:spacing w:after="0" w:line="240" w:lineRule="auto"/>
        <w:rPr>
          <w:rFonts w:asciiTheme="majorHAnsi" w:hAnsiTheme="majorHAnsi" w:cstheme="majorHAnsi"/>
        </w:rPr>
      </w:pPr>
      <w:r w:rsidRPr="00B5168F">
        <w:rPr>
          <w:rFonts w:asciiTheme="majorHAnsi" w:hAnsiTheme="majorHAnsi" w:cstheme="majorHAnsi"/>
          <w:b/>
          <w:bCs/>
        </w:rPr>
        <w:t>Horloges GPS</w:t>
      </w:r>
      <w:r w:rsidRPr="00B5168F">
        <w:rPr>
          <w:rFonts w:asciiTheme="majorHAnsi" w:hAnsiTheme="majorHAnsi" w:cstheme="majorHAnsi"/>
        </w:rPr>
        <w:t> assurant la synchronisation temporelle,</w:t>
      </w:r>
    </w:p>
    <w:p w14:paraId="0B2147B4" w14:textId="272BF11C" w:rsidR="00127EEF" w:rsidRPr="00127EEF" w:rsidRDefault="00B5168F" w:rsidP="00127EEF">
      <w:pPr>
        <w:numPr>
          <w:ilvl w:val="0"/>
          <w:numId w:val="2"/>
        </w:numPr>
        <w:spacing w:after="0" w:line="240" w:lineRule="auto"/>
        <w:rPr>
          <w:rFonts w:asciiTheme="majorHAnsi" w:hAnsiTheme="majorHAnsi" w:cstheme="majorHAnsi"/>
        </w:rPr>
      </w:pPr>
      <w:r w:rsidRPr="00B5168F">
        <w:rPr>
          <w:rFonts w:asciiTheme="majorHAnsi" w:hAnsiTheme="majorHAnsi" w:cstheme="majorHAnsi"/>
          <w:b/>
          <w:bCs/>
        </w:rPr>
        <w:t>Équipements d’alimentation</w:t>
      </w:r>
      <w:r w:rsidRPr="00B5168F">
        <w:rPr>
          <w:rFonts w:asciiTheme="majorHAnsi" w:hAnsiTheme="majorHAnsi" w:cstheme="majorHAnsi"/>
        </w:rPr>
        <w:t> nécessaires au fonctionnement de ces systèmes.</w:t>
      </w:r>
      <w:r w:rsidR="00127EEF">
        <w:rPr>
          <w:rFonts w:asciiTheme="majorHAnsi" w:hAnsiTheme="majorHAnsi" w:cstheme="majorHAnsi"/>
        </w:rPr>
        <w:br/>
      </w:r>
    </w:p>
    <w:p w14:paraId="308DB6E8" w14:textId="1E71B45E"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2.3. Attendus vis</w:t>
      </w:r>
      <w:r w:rsidRPr="00B5168F">
        <w:rPr>
          <w:rFonts w:asciiTheme="majorHAnsi" w:hAnsiTheme="majorHAnsi" w:cstheme="majorHAnsi"/>
          <w:b/>
          <w:bCs/>
          <w:i/>
          <w:iCs/>
        </w:rPr>
        <w:noBreakHyphen/>
        <w:t>à</w:t>
      </w:r>
      <w:r w:rsidRPr="00B5168F">
        <w:rPr>
          <w:rFonts w:asciiTheme="majorHAnsi" w:hAnsiTheme="majorHAnsi" w:cstheme="majorHAnsi"/>
          <w:b/>
          <w:bCs/>
          <w:i/>
          <w:iCs/>
        </w:rPr>
        <w:noBreakHyphen/>
        <w:t>vis du titulaire</w:t>
      </w:r>
    </w:p>
    <w:p w14:paraId="47AEB1DB" w14:textId="77777777" w:rsidR="00B5168F" w:rsidRPr="00B5168F" w:rsidRDefault="00B5168F" w:rsidP="00127EEF">
      <w:pPr>
        <w:spacing w:line="240" w:lineRule="auto"/>
        <w:rPr>
          <w:rFonts w:asciiTheme="majorHAnsi" w:hAnsiTheme="majorHAnsi" w:cstheme="majorHAnsi"/>
        </w:rPr>
      </w:pPr>
      <w:r w:rsidRPr="00B5168F">
        <w:rPr>
          <w:rFonts w:asciiTheme="majorHAnsi" w:hAnsiTheme="majorHAnsi" w:cstheme="majorHAnsi"/>
        </w:rPr>
        <w:t>Le titulaire retenu devra :</w:t>
      </w:r>
    </w:p>
    <w:p w14:paraId="13E9F4A7" w14:textId="77777777" w:rsidR="00B5168F" w:rsidRPr="00B5168F" w:rsidRDefault="00B5168F" w:rsidP="00127EEF">
      <w:pPr>
        <w:numPr>
          <w:ilvl w:val="0"/>
          <w:numId w:val="3"/>
        </w:numPr>
        <w:spacing w:after="0" w:line="240" w:lineRule="auto"/>
        <w:rPr>
          <w:rFonts w:asciiTheme="majorHAnsi" w:hAnsiTheme="majorHAnsi" w:cstheme="majorHAnsi"/>
        </w:rPr>
      </w:pPr>
      <w:r w:rsidRPr="00B5168F">
        <w:rPr>
          <w:rFonts w:asciiTheme="majorHAnsi" w:hAnsiTheme="majorHAnsi" w:cstheme="majorHAnsi"/>
        </w:rPr>
        <w:t>Proposer une </w:t>
      </w:r>
      <w:r w:rsidRPr="00B5168F">
        <w:rPr>
          <w:rFonts w:asciiTheme="majorHAnsi" w:hAnsiTheme="majorHAnsi" w:cstheme="majorHAnsi"/>
          <w:b/>
          <w:bCs/>
        </w:rPr>
        <w:t>architecture réseau cible</w:t>
      </w:r>
      <w:r w:rsidRPr="00B5168F">
        <w:rPr>
          <w:rFonts w:asciiTheme="majorHAnsi" w:hAnsiTheme="majorHAnsi" w:cstheme="majorHAnsi"/>
        </w:rPr>
        <w:t> conforme aux référentiels RTE (normes, CCG, ST/SE/SF applicables) et compatible avec les contraintes d’exploitation HVDC,</w:t>
      </w:r>
    </w:p>
    <w:p w14:paraId="115B7932" w14:textId="77777777" w:rsidR="00B5168F" w:rsidRPr="00B5168F" w:rsidRDefault="00B5168F" w:rsidP="00127EEF">
      <w:pPr>
        <w:numPr>
          <w:ilvl w:val="0"/>
          <w:numId w:val="3"/>
        </w:numPr>
        <w:spacing w:after="0" w:line="240" w:lineRule="auto"/>
        <w:rPr>
          <w:rFonts w:asciiTheme="majorHAnsi" w:hAnsiTheme="majorHAnsi" w:cstheme="majorHAnsi"/>
        </w:rPr>
      </w:pPr>
      <w:r w:rsidRPr="00B5168F">
        <w:rPr>
          <w:rFonts w:asciiTheme="majorHAnsi" w:hAnsiTheme="majorHAnsi" w:cstheme="majorHAnsi"/>
        </w:rPr>
        <w:lastRenderedPageBreak/>
        <w:t>Réaliser les </w:t>
      </w:r>
      <w:r w:rsidRPr="00B5168F">
        <w:rPr>
          <w:rFonts w:asciiTheme="majorHAnsi" w:hAnsiTheme="majorHAnsi" w:cstheme="majorHAnsi"/>
          <w:b/>
          <w:bCs/>
        </w:rPr>
        <w:t>études détaillées</w:t>
      </w:r>
      <w:r w:rsidRPr="00B5168F">
        <w:rPr>
          <w:rFonts w:asciiTheme="majorHAnsi" w:hAnsiTheme="majorHAnsi" w:cstheme="majorHAnsi"/>
        </w:rPr>
        <w:t>, la </w:t>
      </w:r>
      <w:r w:rsidRPr="00B5168F">
        <w:rPr>
          <w:rFonts w:asciiTheme="majorHAnsi" w:hAnsiTheme="majorHAnsi" w:cstheme="majorHAnsi"/>
          <w:b/>
          <w:bCs/>
        </w:rPr>
        <w:t>fourniture</w:t>
      </w:r>
      <w:r w:rsidRPr="00B5168F">
        <w:rPr>
          <w:rFonts w:asciiTheme="majorHAnsi" w:hAnsiTheme="majorHAnsi" w:cstheme="majorHAnsi"/>
        </w:rPr>
        <w:t>, l’</w:t>
      </w:r>
      <w:r w:rsidRPr="00B5168F">
        <w:rPr>
          <w:rFonts w:asciiTheme="majorHAnsi" w:hAnsiTheme="majorHAnsi" w:cstheme="majorHAnsi"/>
          <w:b/>
          <w:bCs/>
        </w:rPr>
        <w:t>installation</w:t>
      </w:r>
      <w:r w:rsidRPr="00B5168F">
        <w:rPr>
          <w:rFonts w:asciiTheme="majorHAnsi" w:hAnsiTheme="majorHAnsi" w:cstheme="majorHAnsi"/>
        </w:rPr>
        <w:t>, le </w:t>
      </w:r>
      <w:r w:rsidRPr="00B5168F">
        <w:rPr>
          <w:rFonts w:asciiTheme="majorHAnsi" w:hAnsiTheme="majorHAnsi" w:cstheme="majorHAnsi"/>
          <w:b/>
          <w:bCs/>
        </w:rPr>
        <w:t>raccordement</w:t>
      </w:r>
      <w:r w:rsidRPr="00B5168F">
        <w:rPr>
          <w:rFonts w:asciiTheme="majorHAnsi" w:hAnsiTheme="majorHAnsi" w:cstheme="majorHAnsi"/>
        </w:rPr>
        <w:t>, la </w:t>
      </w:r>
      <w:r w:rsidRPr="00B5168F">
        <w:rPr>
          <w:rFonts w:asciiTheme="majorHAnsi" w:hAnsiTheme="majorHAnsi" w:cstheme="majorHAnsi"/>
          <w:b/>
          <w:bCs/>
        </w:rPr>
        <w:t>mise en service</w:t>
      </w:r>
      <w:r w:rsidRPr="00B5168F">
        <w:rPr>
          <w:rFonts w:asciiTheme="majorHAnsi" w:hAnsiTheme="majorHAnsi" w:cstheme="majorHAnsi"/>
        </w:rPr>
        <w:t> et les </w:t>
      </w:r>
      <w:r w:rsidRPr="00B5168F">
        <w:rPr>
          <w:rFonts w:asciiTheme="majorHAnsi" w:hAnsiTheme="majorHAnsi" w:cstheme="majorHAnsi"/>
          <w:b/>
          <w:bCs/>
        </w:rPr>
        <w:t>tests</w:t>
      </w:r>
      <w:r w:rsidRPr="00B5168F">
        <w:rPr>
          <w:rFonts w:asciiTheme="majorHAnsi" w:hAnsiTheme="majorHAnsi" w:cstheme="majorHAnsi"/>
        </w:rPr>
        <w:t> des nouveaux équipements,</w:t>
      </w:r>
    </w:p>
    <w:p w14:paraId="7D45346C" w14:textId="77777777" w:rsidR="00B5168F" w:rsidRPr="00B5168F" w:rsidRDefault="00B5168F" w:rsidP="00127EEF">
      <w:pPr>
        <w:numPr>
          <w:ilvl w:val="0"/>
          <w:numId w:val="3"/>
        </w:numPr>
        <w:spacing w:after="0" w:line="240" w:lineRule="auto"/>
        <w:rPr>
          <w:rFonts w:asciiTheme="majorHAnsi" w:hAnsiTheme="majorHAnsi" w:cstheme="majorHAnsi"/>
        </w:rPr>
      </w:pPr>
      <w:r w:rsidRPr="00B5168F">
        <w:rPr>
          <w:rFonts w:asciiTheme="majorHAnsi" w:hAnsiTheme="majorHAnsi" w:cstheme="majorHAnsi"/>
        </w:rPr>
        <w:t>Assurer la </w:t>
      </w:r>
      <w:r w:rsidRPr="00B5168F">
        <w:rPr>
          <w:rFonts w:asciiTheme="majorHAnsi" w:hAnsiTheme="majorHAnsi" w:cstheme="majorHAnsi"/>
          <w:b/>
          <w:bCs/>
        </w:rPr>
        <w:t>continuité de service</w:t>
      </w:r>
      <w:r w:rsidRPr="00B5168F">
        <w:rPr>
          <w:rFonts w:asciiTheme="majorHAnsi" w:hAnsiTheme="majorHAnsi" w:cstheme="majorHAnsi"/>
        </w:rPr>
        <w:t> pendant les travaux (planification des bascules, recours aux arrêts planifiés des bipôles, limitation des modes dégradés),</w:t>
      </w:r>
    </w:p>
    <w:p w14:paraId="62F91B74" w14:textId="77777777" w:rsidR="00B5168F" w:rsidRPr="00B5168F" w:rsidRDefault="00B5168F" w:rsidP="00127EEF">
      <w:pPr>
        <w:numPr>
          <w:ilvl w:val="0"/>
          <w:numId w:val="3"/>
        </w:numPr>
        <w:spacing w:after="0" w:line="240" w:lineRule="auto"/>
        <w:rPr>
          <w:rFonts w:asciiTheme="majorHAnsi" w:hAnsiTheme="majorHAnsi" w:cstheme="majorHAnsi"/>
        </w:rPr>
      </w:pPr>
      <w:r w:rsidRPr="00B5168F">
        <w:rPr>
          <w:rFonts w:asciiTheme="majorHAnsi" w:hAnsiTheme="majorHAnsi" w:cstheme="majorHAnsi"/>
        </w:rPr>
        <w:t>Fournir une </w:t>
      </w:r>
      <w:r w:rsidRPr="00B5168F">
        <w:rPr>
          <w:rFonts w:asciiTheme="majorHAnsi" w:hAnsiTheme="majorHAnsi" w:cstheme="majorHAnsi"/>
          <w:b/>
          <w:bCs/>
        </w:rPr>
        <w:t>documentation complète</w:t>
      </w:r>
      <w:r w:rsidRPr="00B5168F">
        <w:rPr>
          <w:rFonts w:asciiTheme="majorHAnsi" w:hAnsiTheme="majorHAnsi" w:cstheme="majorHAnsi"/>
        </w:rPr>
        <w:t> (plans, schémas, DOE, procédures d’exploitation et de maintenance, recettes, etc.),</w:t>
      </w:r>
    </w:p>
    <w:p w14:paraId="36C281DB" w14:textId="63555C97" w:rsidR="00B5168F" w:rsidRPr="00B5168F" w:rsidRDefault="00B5168F" w:rsidP="00127EEF">
      <w:pPr>
        <w:numPr>
          <w:ilvl w:val="0"/>
          <w:numId w:val="3"/>
        </w:numPr>
        <w:spacing w:after="0" w:line="240" w:lineRule="auto"/>
        <w:rPr>
          <w:rFonts w:asciiTheme="majorHAnsi" w:hAnsiTheme="majorHAnsi" w:cstheme="majorHAnsi"/>
        </w:rPr>
      </w:pPr>
      <w:r w:rsidRPr="00B5168F">
        <w:rPr>
          <w:rFonts w:asciiTheme="majorHAnsi" w:hAnsiTheme="majorHAnsi" w:cstheme="majorHAnsi"/>
        </w:rPr>
        <w:t>Produire un </w:t>
      </w:r>
      <w:r w:rsidRPr="00B5168F">
        <w:rPr>
          <w:rFonts w:asciiTheme="majorHAnsi" w:hAnsiTheme="majorHAnsi" w:cstheme="majorHAnsi"/>
          <w:b/>
          <w:bCs/>
        </w:rPr>
        <w:t>chiffrage détaillé</w:t>
      </w:r>
      <w:r w:rsidRPr="00B5168F">
        <w:rPr>
          <w:rFonts w:asciiTheme="majorHAnsi" w:hAnsiTheme="majorHAnsi" w:cstheme="majorHAnsi"/>
        </w:rPr>
        <w:t> (études – fournitures – travaux) et un </w:t>
      </w:r>
      <w:r w:rsidRPr="00B5168F">
        <w:rPr>
          <w:rFonts w:asciiTheme="majorHAnsi" w:hAnsiTheme="majorHAnsi" w:cstheme="majorHAnsi"/>
          <w:b/>
          <w:bCs/>
        </w:rPr>
        <w:t>planning de réalisation</w:t>
      </w:r>
      <w:r w:rsidRPr="00B5168F">
        <w:rPr>
          <w:rFonts w:asciiTheme="majorHAnsi" w:hAnsiTheme="majorHAnsi" w:cstheme="majorHAnsi"/>
        </w:rPr>
        <w:t> cohérent avec les arrêts bipôles communiqués par RTE.</w:t>
      </w:r>
      <w:r w:rsidR="00127EEF">
        <w:rPr>
          <w:rFonts w:asciiTheme="majorHAnsi" w:hAnsiTheme="majorHAnsi" w:cstheme="majorHAnsi"/>
        </w:rPr>
        <w:br/>
      </w:r>
    </w:p>
    <w:p w14:paraId="5EFC7643" w14:textId="3AEAF4F9" w:rsidR="00B5168F" w:rsidRPr="00B5168F" w:rsidRDefault="00B5168F" w:rsidP="00127EEF">
      <w:pPr>
        <w:spacing w:line="240" w:lineRule="auto"/>
        <w:rPr>
          <w:rFonts w:asciiTheme="majorHAnsi" w:hAnsiTheme="majorHAnsi" w:cstheme="majorHAnsi"/>
          <w:b/>
          <w:bCs/>
          <w:color w:val="0070C0"/>
        </w:rPr>
      </w:pPr>
      <w:r w:rsidRPr="00B5168F">
        <w:rPr>
          <w:rFonts w:asciiTheme="majorHAnsi" w:hAnsiTheme="majorHAnsi" w:cstheme="majorHAnsi"/>
          <w:b/>
          <w:bCs/>
          <w:color w:val="0070C0"/>
        </w:rPr>
        <w:t xml:space="preserve">3. </w:t>
      </w:r>
      <w:r w:rsidR="001A0848" w:rsidRPr="00127EEF">
        <w:rPr>
          <w:rFonts w:asciiTheme="majorHAnsi" w:hAnsiTheme="majorHAnsi" w:cstheme="majorHAnsi"/>
          <w:b/>
          <w:bCs/>
          <w:color w:val="0070C0"/>
        </w:rPr>
        <w:t>MODULE 2</w:t>
      </w:r>
      <w:r w:rsidRPr="00B5168F">
        <w:rPr>
          <w:rFonts w:asciiTheme="majorHAnsi" w:hAnsiTheme="majorHAnsi" w:cstheme="majorHAnsi"/>
          <w:b/>
          <w:bCs/>
          <w:color w:val="0070C0"/>
        </w:rPr>
        <w:t xml:space="preserve"> – Virtualisation de l’IHM HVDC</w:t>
      </w:r>
    </w:p>
    <w:p w14:paraId="5E58D96B" w14:textId="77777777"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3.1. Objectif</w:t>
      </w:r>
    </w:p>
    <w:p w14:paraId="1199C487" w14:textId="77777777" w:rsidR="00B5168F" w:rsidRPr="00B5168F" w:rsidRDefault="00B5168F" w:rsidP="00127EEF">
      <w:pPr>
        <w:spacing w:line="240" w:lineRule="auto"/>
        <w:ind w:firstLine="708"/>
        <w:rPr>
          <w:rFonts w:asciiTheme="majorHAnsi" w:hAnsiTheme="majorHAnsi" w:cstheme="majorHAnsi"/>
        </w:rPr>
      </w:pPr>
      <w:r w:rsidRPr="00B5168F">
        <w:rPr>
          <w:rFonts w:asciiTheme="majorHAnsi" w:hAnsiTheme="majorHAnsi" w:cstheme="majorHAnsi"/>
        </w:rPr>
        <w:t>Moderniser l’architecture des systèmes d’IHM HVDC de la station IFA1 via une </w:t>
      </w:r>
      <w:r w:rsidRPr="00B5168F">
        <w:rPr>
          <w:rFonts w:asciiTheme="majorHAnsi" w:hAnsiTheme="majorHAnsi" w:cstheme="majorHAnsi"/>
          <w:b/>
          <w:bCs/>
        </w:rPr>
        <w:t>solution virtualisée</w:t>
      </w:r>
      <w:r w:rsidRPr="00B5168F">
        <w:rPr>
          <w:rFonts w:asciiTheme="majorHAnsi" w:hAnsiTheme="majorHAnsi" w:cstheme="majorHAnsi"/>
        </w:rPr>
        <w:t>, tout en garantissant un comportement fonctionnel strictement équivalent à l’existant, et en intégrant des </w:t>
      </w:r>
      <w:r w:rsidRPr="00B5168F">
        <w:rPr>
          <w:rFonts w:asciiTheme="majorHAnsi" w:hAnsiTheme="majorHAnsi" w:cstheme="majorHAnsi"/>
          <w:b/>
          <w:bCs/>
        </w:rPr>
        <w:t>évolutions fonctionnelles</w:t>
      </w:r>
      <w:r w:rsidRPr="00B5168F">
        <w:rPr>
          <w:rFonts w:asciiTheme="majorHAnsi" w:hAnsiTheme="majorHAnsi" w:cstheme="majorHAnsi"/>
        </w:rPr>
        <w:t> demandées par RTE.</w:t>
      </w:r>
    </w:p>
    <w:p w14:paraId="53151CAC" w14:textId="77777777"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3.2. Périmètre technique</w:t>
      </w:r>
    </w:p>
    <w:p w14:paraId="6BF9E413" w14:textId="77777777" w:rsidR="00B5168F" w:rsidRPr="00B5168F" w:rsidRDefault="00B5168F" w:rsidP="00127EEF">
      <w:pPr>
        <w:spacing w:line="240" w:lineRule="auto"/>
        <w:rPr>
          <w:rFonts w:asciiTheme="majorHAnsi" w:hAnsiTheme="majorHAnsi" w:cstheme="majorHAnsi"/>
        </w:rPr>
      </w:pPr>
      <w:r w:rsidRPr="00B5168F">
        <w:rPr>
          <w:rFonts w:asciiTheme="majorHAnsi" w:hAnsiTheme="majorHAnsi" w:cstheme="majorHAnsi"/>
        </w:rPr>
        <w:t>Le module 2 comporte </w:t>
      </w:r>
      <w:r w:rsidRPr="00B5168F">
        <w:rPr>
          <w:rFonts w:asciiTheme="majorHAnsi" w:hAnsiTheme="majorHAnsi" w:cstheme="majorHAnsi"/>
          <w:b/>
          <w:bCs/>
        </w:rPr>
        <w:t>deux volets</w:t>
      </w:r>
      <w:r w:rsidRPr="00B5168F">
        <w:rPr>
          <w:rFonts w:asciiTheme="majorHAnsi" w:hAnsiTheme="majorHAnsi" w:cstheme="majorHAnsi"/>
        </w:rPr>
        <w:t> :</w:t>
      </w:r>
    </w:p>
    <w:p w14:paraId="6CAF94D3" w14:textId="77777777" w:rsidR="00B5168F" w:rsidRPr="00B5168F" w:rsidRDefault="00B5168F" w:rsidP="00127EEF">
      <w:pPr>
        <w:spacing w:line="240" w:lineRule="auto"/>
        <w:ind w:left="720"/>
        <w:rPr>
          <w:rFonts w:asciiTheme="majorHAnsi" w:hAnsiTheme="majorHAnsi" w:cstheme="majorHAnsi"/>
        </w:rPr>
      </w:pPr>
      <w:r w:rsidRPr="00B5168F">
        <w:rPr>
          <w:rFonts w:asciiTheme="majorHAnsi" w:hAnsiTheme="majorHAnsi" w:cstheme="majorHAnsi"/>
          <w:b/>
          <w:bCs/>
        </w:rPr>
        <w:t>Volet 1 – Virtualisation de l’existant</w:t>
      </w:r>
    </w:p>
    <w:p w14:paraId="26ED6075" w14:textId="77777777" w:rsidR="00B5168F" w:rsidRPr="00B5168F" w:rsidRDefault="00B5168F" w:rsidP="00127EEF">
      <w:pPr>
        <w:numPr>
          <w:ilvl w:val="1"/>
          <w:numId w:val="4"/>
        </w:numPr>
        <w:spacing w:after="0" w:line="240" w:lineRule="auto"/>
        <w:rPr>
          <w:rFonts w:asciiTheme="majorHAnsi" w:hAnsiTheme="majorHAnsi" w:cstheme="majorHAnsi"/>
        </w:rPr>
      </w:pPr>
      <w:r w:rsidRPr="00B5168F">
        <w:rPr>
          <w:rFonts w:asciiTheme="majorHAnsi" w:hAnsiTheme="majorHAnsi" w:cstheme="majorHAnsi"/>
        </w:rPr>
        <w:t>Remplacement des machines physiques supportant les fonctions d’IHM HVDC par des </w:t>
      </w:r>
      <w:r w:rsidRPr="00B5168F">
        <w:rPr>
          <w:rFonts w:asciiTheme="majorHAnsi" w:hAnsiTheme="majorHAnsi" w:cstheme="majorHAnsi"/>
          <w:b/>
          <w:bCs/>
        </w:rPr>
        <w:t>machines virtuelles</w:t>
      </w:r>
      <w:r w:rsidRPr="00B5168F">
        <w:rPr>
          <w:rFonts w:asciiTheme="majorHAnsi" w:hAnsiTheme="majorHAnsi" w:cstheme="majorHAnsi"/>
        </w:rPr>
        <w:t> hébergées sur une infrastructure de virtualisation.</w:t>
      </w:r>
    </w:p>
    <w:p w14:paraId="7B9A4171" w14:textId="77777777" w:rsidR="00B5168F" w:rsidRPr="00B5168F" w:rsidRDefault="00B5168F" w:rsidP="00127EEF">
      <w:pPr>
        <w:numPr>
          <w:ilvl w:val="1"/>
          <w:numId w:val="4"/>
        </w:numPr>
        <w:spacing w:after="0" w:line="240" w:lineRule="auto"/>
        <w:rPr>
          <w:rFonts w:asciiTheme="majorHAnsi" w:hAnsiTheme="majorHAnsi" w:cstheme="majorHAnsi"/>
        </w:rPr>
      </w:pPr>
      <w:r w:rsidRPr="00B5168F">
        <w:rPr>
          <w:rFonts w:asciiTheme="majorHAnsi" w:hAnsiTheme="majorHAnsi" w:cstheme="majorHAnsi"/>
        </w:rPr>
        <w:t>Les machines virtuelles devront reproduire à l’identique le contenu des machines actuelles :</w:t>
      </w:r>
    </w:p>
    <w:p w14:paraId="50945499" w14:textId="5749F303" w:rsidR="00127EEF" w:rsidRPr="00B5168F" w:rsidRDefault="001A0848" w:rsidP="00127EEF">
      <w:pPr>
        <w:numPr>
          <w:ilvl w:val="2"/>
          <w:numId w:val="10"/>
        </w:numPr>
        <w:spacing w:after="0" w:line="240" w:lineRule="auto"/>
        <w:rPr>
          <w:rFonts w:asciiTheme="majorHAnsi" w:hAnsiTheme="majorHAnsi" w:cstheme="majorHAnsi"/>
        </w:rPr>
      </w:pPr>
      <w:r w:rsidRPr="00B5168F">
        <w:rPr>
          <w:rFonts w:asciiTheme="majorHAnsi" w:hAnsiTheme="majorHAnsi" w:cstheme="majorHAnsi"/>
        </w:rPr>
        <w:t>Mêmes</w:t>
      </w:r>
      <w:r w:rsidR="00B5168F" w:rsidRPr="00B5168F">
        <w:rPr>
          <w:rFonts w:asciiTheme="majorHAnsi" w:hAnsiTheme="majorHAnsi" w:cstheme="majorHAnsi"/>
        </w:rPr>
        <w:t xml:space="preserve"> systèmes d’exploitation,</w:t>
      </w:r>
    </w:p>
    <w:p w14:paraId="5148A56E" w14:textId="1C943345" w:rsidR="00B5168F" w:rsidRPr="00B5168F" w:rsidRDefault="001A0848" w:rsidP="00127EEF">
      <w:pPr>
        <w:numPr>
          <w:ilvl w:val="2"/>
          <w:numId w:val="10"/>
        </w:numPr>
        <w:spacing w:after="0" w:line="240" w:lineRule="auto"/>
        <w:rPr>
          <w:rFonts w:asciiTheme="majorHAnsi" w:hAnsiTheme="majorHAnsi" w:cstheme="majorHAnsi"/>
        </w:rPr>
      </w:pPr>
      <w:r w:rsidRPr="00B5168F">
        <w:rPr>
          <w:rFonts w:asciiTheme="majorHAnsi" w:hAnsiTheme="majorHAnsi" w:cstheme="majorHAnsi"/>
        </w:rPr>
        <w:t>Mêmes</w:t>
      </w:r>
      <w:r w:rsidR="00B5168F" w:rsidRPr="00B5168F">
        <w:rPr>
          <w:rFonts w:asciiTheme="majorHAnsi" w:hAnsiTheme="majorHAnsi" w:cstheme="majorHAnsi"/>
        </w:rPr>
        <w:t xml:space="preserve"> versions logicielles,</w:t>
      </w:r>
    </w:p>
    <w:p w14:paraId="6AFF44A0" w14:textId="49941E67" w:rsidR="00B5168F" w:rsidRDefault="001A0848" w:rsidP="00127EEF">
      <w:pPr>
        <w:numPr>
          <w:ilvl w:val="2"/>
          <w:numId w:val="10"/>
        </w:numPr>
        <w:spacing w:after="0" w:line="240" w:lineRule="auto"/>
        <w:rPr>
          <w:rFonts w:asciiTheme="majorHAnsi" w:hAnsiTheme="majorHAnsi" w:cstheme="majorHAnsi"/>
        </w:rPr>
      </w:pPr>
      <w:r w:rsidRPr="00B5168F">
        <w:rPr>
          <w:rFonts w:asciiTheme="majorHAnsi" w:hAnsiTheme="majorHAnsi" w:cstheme="majorHAnsi"/>
        </w:rPr>
        <w:t>Mêmes</w:t>
      </w:r>
      <w:r w:rsidR="00B5168F" w:rsidRPr="00B5168F">
        <w:rPr>
          <w:rFonts w:asciiTheme="majorHAnsi" w:hAnsiTheme="majorHAnsi" w:cstheme="majorHAnsi"/>
        </w:rPr>
        <w:t xml:space="preserve"> interfaces fonctionnelles et réseaux.</w:t>
      </w:r>
    </w:p>
    <w:p w14:paraId="47B0AC4B" w14:textId="77777777" w:rsidR="00127EEF" w:rsidRPr="00B5168F" w:rsidRDefault="00127EEF" w:rsidP="00127EEF">
      <w:pPr>
        <w:spacing w:after="0" w:line="240" w:lineRule="auto"/>
        <w:ind w:left="2160"/>
        <w:rPr>
          <w:rFonts w:asciiTheme="majorHAnsi" w:hAnsiTheme="majorHAnsi" w:cstheme="majorHAnsi"/>
        </w:rPr>
      </w:pPr>
    </w:p>
    <w:p w14:paraId="5DF89BE5" w14:textId="77777777" w:rsidR="00B5168F" w:rsidRPr="00B5168F" w:rsidRDefault="00B5168F" w:rsidP="00127EEF">
      <w:pPr>
        <w:spacing w:line="240" w:lineRule="auto"/>
        <w:ind w:left="720"/>
        <w:rPr>
          <w:rFonts w:asciiTheme="majorHAnsi" w:hAnsiTheme="majorHAnsi" w:cstheme="majorHAnsi"/>
        </w:rPr>
      </w:pPr>
      <w:r w:rsidRPr="00B5168F">
        <w:rPr>
          <w:rFonts w:asciiTheme="majorHAnsi" w:hAnsiTheme="majorHAnsi" w:cstheme="majorHAnsi"/>
          <w:b/>
          <w:bCs/>
        </w:rPr>
        <w:t>Volet 2 – Développement de nouvelles fonctions</w:t>
      </w:r>
    </w:p>
    <w:p w14:paraId="25817E14" w14:textId="623D2A1A" w:rsidR="00B5168F" w:rsidRPr="00B5168F" w:rsidRDefault="00B5168F" w:rsidP="00127EEF">
      <w:pPr>
        <w:numPr>
          <w:ilvl w:val="1"/>
          <w:numId w:val="4"/>
        </w:numPr>
        <w:spacing w:line="240" w:lineRule="auto"/>
        <w:rPr>
          <w:rFonts w:asciiTheme="majorHAnsi" w:hAnsiTheme="majorHAnsi" w:cstheme="majorHAnsi"/>
        </w:rPr>
      </w:pPr>
      <w:r w:rsidRPr="00B5168F">
        <w:rPr>
          <w:rFonts w:asciiTheme="majorHAnsi" w:hAnsiTheme="majorHAnsi" w:cstheme="majorHAnsi"/>
        </w:rPr>
        <w:t>Implémentation de </w:t>
      </w:r>
      <w:r w:rsidRPr="00B5168F">
        <w:rPr>
          <w:rFonts w:asciiTheme="majorHAnsi" w:hAnsiTheme="majorHAnsi" w:cstheme="majorHAnsi"/>
          <w:b/>
          <w:bCs/>
        </w:rPr>
        <w:t>fonctions additionnelles</w:t>
      </w:r>
      <w:r w:rsidRPr="00B5168F">
        <w:rPr>
          <w:rFonts w:asciiTheme="majorHAnsi" w:hAnsiTheme="majorHAnsi" w:cstheme="majorHAnsi"/>
        </w:rPr>
        <w:t xml:space="preserve"> (IHM, supervision, exploitation, maintenance…) définies par RTE dans </w:t>
      </w:r>
      <w:r w:rsidR="00C24795">
        <w:rPr>
          <w:rFonts w:asciiTheme="majorHAnsi" w:hAnsiTheme="majorHAnsi" w:cstheme="majorHAnsi"/>
        </w:rPr>
        <w:t>une spécification dédiée.</w:t>
      </w:r>
    </w:p>
    <w:p w14:paraId="73CE8F97" w14:textId="77777777" w:rsidR="00B5168F" w:rsidRPr="00B5168F" w:rsidRDefault="00B5168F" w:rsidP="00127EEF">
      <w:pPr>
        <w:spacing w:line="240" w:lineRule="auto"/>
        <w:ind w:left="708"/>
        <w:rPr>
          <w:rFonts w:asciiTheme="majorHAnsi" w:hAnsiTheme="majorHAnsi" w:cstheme="majorHAnsi"/>
          <w:b/>
          <w:bCs/>
          <w:i/>
          <w:iCs/>
        </w:rPr>
      </w:pPr>
      <w:r w:rsidRPr="00B5168F">
        <w:rPr>
          <w:rFonts w:asciiTheme="majorHAnsi" w:hAnsiTheme="majorHAnsi" w:cstheme="majorHAnsi"/>
          <w:b/>
          <w:bCs/>
          <w:i/>
          <w:iCs/>
        </w:rPr>
        <w:t>3.3. Attendus vis</w:t>
      </w:r>
      <w:r w:rsidRPr="00B5168F">
        <w:rPr>
          <w:rFonts w:asciiTheme="majorHAnsi" w:hAnsiTheme="majorHAnsi" w:cstheme="majorHAnsi"/>
          <w:b/>
          <w:bCs/>
          <w:i/>
          <w:iCs/>
        </w:rPr>
        <w:noBreakHyphen/>
        <w:t>à</w:t>
      </w:r>
      <w:r w:rsidRPr="00B5168F">
        <w:rPr>
          <w:rFonts w:asciiTheme="majorHAnsi" w:hAnsiTheme="majorHAnsi" w:cstheme="majorHAnsi"/>
          <w:b/>
          <w:bCs/>
          <w:i/>
          <w:iCs/>
        </w:rPr>
        <w:noBreakHyphen/>
        <w:t>vis du titulaire</w:t>
      </w:r>
    </w:p>
    <w:p w14:paraId="56679B40" w14:textId="7CA26A6D" w:rsidR="00B5168F" w:rsidRPr="00B5168F" w:rsidRDefault="00B5168F" w:rsidP="00127EEF">
      <w:pPr>
        <w:spacing w:line="240" w:lineRule="auto"/>
        <w:rPr>
          <w:rFonts w:asciiTheme="majorHAnsi" w:hAnsiTheme="majorHAnsi" w:cstheme="majorHAnsi"/>
        </w:rPr>
      </w:pPr>
      <w:r w:rsidRPr="00B5168F">
        <w:rPr>
          <w:rFonts w:asciiTheme="majorHAnsi" w:hAnsiTheme="majorHAnsi" w:cstheme="majorHAnsi"/>
        </w:rPr>
        <w:t>Pour </w:t>
      </w:r>
      <w:r w:rsidRPr="00B5168F">
        <w:rPr>
          <w:rFonts w:asciiTheme="majorHAnsi" w:hAnsiTheme="majorHAnsi" w:cstheme="majorHAnsi"/>
          <w:b/>
          <w:bCs/>
        </w:rPr>
        <w:t xml:space="preserve">chacun des </w:t>
      </w:r>
      <w:r w:rsidR="00C24795">
        <w:rPr>
          <w:rFonts w:asciiTheme="majorHAnsi" w:hAnsiTheme="majorHAnsi" w:cstheme="majorHAnsi"/>
          <w:b/>
          <w:bCs/>
        </w:rPr>
        <w:t>modules</w:t>
      </w:r>
      <w:r w:rsidRPr="00B5168F">
        <w:rPr>
          <w:rFonts w:asciiTheme="majorHAnsi" w:hAnsiTheme="majorHAnsi" w:cstheme="majorHAnsi"/>
        </w:rPr>
        <w:t>, le titulaire devra :</w:t>
      </w:r>
    </w:p>
    <w:p w14:paraId="5FBBC8C7"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Concevoir et proposer une </w:t>
      </w:r>
      <w:r w:rsidRPr="00B5168F">
        <w:rPr>
          <w:rFonts w:asciiTheme="majorHAnsi" w:hAnsiTheme="majorHAnsi" w:cstheme="majorHAnsi"/>
          <w:b/>
          <w:bCs/>
        </w:rPr>
        <w:t>architecture de virtualisation</w:t>
      </w:r>
      <w:r w:rsidRPr="00B5168F">
        <w:rPr>
          <w:rFonts w:asciiTheme="majorHAnsi" w:hAnsiTheme="majorHAnsi" w:cstheme="majorHAnsi"/>
        </w:rPr>
        <w:t> (matérielle et logicielle) adaptée aux exigences de disponibilité, de performances et de cybersécurité de la station,</w:t>
      </w:r>
    </w:p>
    <w:p w14:paraId="42127507"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Réaliser les </w:t>
      </w:r>
      <w:r w:rsidRPr="00B5168F">
        <w:rPr>
          <w:rFonts w:asciiTheme="majorHAnsi" w:hAnsiTheme="majorHAnsi" w:cstheme="majorHAnsi"/>
          <w:b/>
          <w:bCs/>
        </w:rPr>
        <w:t>études détaillées</w:t>
      </w:r>
      <w:r w:rsidRPr="00B5168F">
        <w:rPr>
          <w:rFonts w:asciiTheme="majorHAnsi" w:hAnsiTheme="majorHAnsi" w:cstheme="majorHAnsi"/>
        </w:rPr>
        <w:t>, le </w:t>
      </w:r>
      <w:r w:rsidRPr="00B5168F">
        <w:rPr>
          <w:rFonts w:asciiTheme="majorHAnsi" w:hAnsiTheme="majorHAnsi" w:cstheme="majorHAnsi"/>
          <w:b/>
          <w:bCs/>
        </w:rPr>
        <w:t>développement / paramétrage</w:t>
      </w:r>
      <w:r w:rsidRPr="00B5168F">
        <w:rPr>
          <w:rFonts w:asciiTheme="majorHAnsi" w:hAnsiTheme="majorHAnsi" w:cstheme="majorHAnsi"/>
        </w:rPr>
        <w:t>, l’</w:t>
      </w:r>
      <w:r w:rsidRPr="00B5168F">
        <w:rPr>
          <w:rFonts w:asciiTheme="majorHAnsi" w:hAnsiTheme="majorHAnsi" w:cstheme="majorHAnsi"/>
          <w:b/>
          <w:bCs/>
        </w:rPr>
        <w:t>intégration</w:t>
      </w:r>
      <w:r w:rsidRPr="00B5168F">
        <w:rPr>
          <w:rFonts w:asciiTheme="majorHAnsi" w:hAnsiTheme="majorHAnsi" w:cstheme="majorHAnsi"/>
        </w:rPr>
        <w:t>, la </w:t>
      </w:r>
      <w:r w:rsidRPr="00B5168F">
        <w:rPr>
          <w:rFonts w:asciiTheme="majorHAnsi" w:hAnsiTheme="majorHAnsi" w:cstheme="majorHAnsi"/>
          <w:b/>
          <w:bCs/>
        </w:rPr>
        <w:t>migration</w:t>
      </w:r>
      <w:r w:rsidRPr="00B5168F">
        <w:rPr>
          <w:rFonts w:asciiTheme="majorHAnsi" w:hAnsiTheme="majorHAnsi" w:cstheme="majorHAnsi"/>
        </w:rPr>
        <w:t>, les </w:t>
      </w:r>
      <w:r w:rsidRPr="00B5168F">
        <w:rPr>
          <w:rFonts w:asciiTheme="majorHAnsi" w:hAnsiTheme="majorHAnsi" w:cstheme="majorHAnsi"/>
          <w:b/>
          <w:bCs/>
        </w:rPr>
        <w:t>tests en plateforme</w:t>
      </w:r>
      <w:r w:rsidRPr="00B5168F">
        <w:rPr>
          <w:rFonts w:asciiTheme="majorHAnsi" w:hAnsiTheme="majorHAnsi" w:cstheme="majorHAnsi"/>
        </w:rPr>
        <w:t> et </w:t>
      </w:r>
      <w:r w:rsidRPr="00B5168F">
        <w:rPr>
          <w:rFonts w:asciiTheme="majorHAnsi" w:hAnsiTheme="majorHAnsi" w:cstheme="majorHAnsi"/>
          <w:b/>
          <w:bCs/>
        </w:rPr>
        <w:t>sur site</w:t>
      </w:r>
      <w:r w:rsidRPr="00B5168F">
        <w:rPr>
          <w:rFonts w:asciiTheme="majorHAnsi" w:hAnsiTheme="majorHAnsi" w:cstheme="majorHAnsi"/>
        </w:rPr>
        <w:t>, puis la </w:t>
      </w:r>
      <w:r w:rsidRPr="00B5168F">
        <w:rPr>
          <w:rFonts w:asciiTheme="majorHAnsi" w:hAnsiTheme="majorHAnsi" w:cstheme="majorHAnsi"/>
          <w:b/>
          <w:bCs/>
        </w:rPr>
        <w:t>mise en service</w:t>
      </w:r>
      <w:r w:rsidRPr="00B5168F">
        <w:rPr>
          <w:rFonts w:asciiTheme="majorHAnsi" w:hAnsiTheme="majorHAnsi" w:cstheme="majorHAnsi"/>
        </w:rPr>
        <w:t>,</w:t>
      </w:r>
    </w:p>
    <w:p w14:paraId="59205540"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Garantir la </w:t>
      </w:r>
      <w:r w:rsidRPr="00B5168F">
        <w:rPr>
          <w:rFonts w:asciiTheme="majorHAnsi" w:hAnsiTheme="majorHAnsi" w:cstheme="majorHAnsi"/>
          <w:b/>
          <w:bCs/>
        </w:rPr>
        <w:t>compatibilité</w:t>
      </w:r>
      <w:r w:rsidRPr="00B5168F">
        <w:rPr>
          <w:rFonts w:asciiTheme="majorHAnsi" w:hAnsiTheme="majorHAnsi" w:cstheme="majorHAnsi"/>
        </w:rPr>
        <w:t> avec les systèmes existants (contrôle</w:t>
      </w:r>
      <w:r w:rsidRPr="00B5168F">
        <w:rPr>
          <w:rFonts w:asciiTheme="majorHAnsi" w:hAnsiTheme="majorHAnsi" w:cstheme="majorHAnsi"/>
        </w:rPr>
        <w:noBreakHyphen/>
        <w:t>commande, réseaux CCN, environnements HVDC) et le maintien d’un niveau de risque acceptable,</w:t>
      </w:r>
    </w:p>
    <w:p w14:paraId="48734B92"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Proposer un </w:t>
      </w:r>
      <w:r w:rsidRPr="00B5168F">
        <w:rPr>
          <w:rFonts w:asciiTheme="majorHAnsi" w:hAnsiTheme="majorHAnsi" w:cstheme="majorHAnsi"/>
          <w:b/>
          <w:bCs/>
        </w:rPr>
        <w:t>plan de migration</w:t>
      </w:r>
      <w:r w:rsidRPr="00B5168F">
        <w:rPr>
          <w:rFonts w:asciiTheme="majorHAnsi" w:hAnsiTheme="majorHAnsi" w:cstheme="majorHAnsi"/>
        </w:rPr>
        <w:t> limitant les interruptions de service (en lien avec les arrêts bipôles),</w:t>
      </w:r>
    </w:p>
    <w:p w14:paraId="0A26F948"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Fournir l’ensemble des </w:t>
      </w:r>
      <w:r w:rsidRPr="00B5168F">
        <w:rPr>
          <w:rFonts w:asciiTheme="majorHAnsi" w:hAnsiTheme="majorHAnsi" w:cstheme="majorHAnsi"/>
          <w:b/>
          <w:bCs/>
        </w:rPr>
        <w:t>livrables techniques</w:t>
      </w:r>
      <w:r w:rsidRPr="00B5168F">
        <w:rPr>
          <w:rFonts w:asciiTheme="majorHAnsi" w:hAnsiTheme="majorHAnsi" w:cstheme="majorHAnsi"/>
        </w:rPr>
        <w:t> :</w:t>
      </w:r>
    </w:p>
    <w:p w14:paraId="1435FF73" w14:textId="4CEA72CD" w:rsidR="00B5168F" w:rsidRPr="00B5168F" w:rsidRDefault="00127EEF" w:rsidP="00127EEF">
      <w:pPr>
        <w:numPr>
          <w:ilvl w:val="1"/>
          <w:numId w:val="8"/>
        </w:numPr>
        <w:spacing w:after="0" w:line="240" w:lineRule="auto"/>
        <w:rPr>
          <w:rFonts w:asciiTheme="majorHAnsi" w:hAnsiTheme="majorHAnsi" w:cstheme="majorHAnsi"/>
        </w:rPr>
      </w:pPr>
      <w:r w:rsidRPr="00B5168F">
        <w:rPr>
          <w:rFonts w:asciiTheme="majorHAnsi" w:hAnsiTheme="majorHAnsi" w:cstheme="majorHAnsi"/>
        </w:rPr>
        <w:t>Architectures</w:t>
      </w:r>
      <w:r w:rsidR="00B5168F" w:rsidRPr="00B5168F">
        <w:rPr>
          <w:rFonts w:asciiTheme="majorHAnsi" w:hAnsiTheme="majorHAnsi" w:cstheme="majorHAnsi"/>
        </w:rPr>
        <w:t xml:space="preserve"> détaillées,</w:t>
      </w:r>
    </w:p>
    <w:p w14:paraId="76958C68" w14:textId="7AC7CFDE" w:rsidR="00B5168F" w:rsidRPr="00B5168F" w:rsidRDefault="00127EEF" w:rsidP="00127EEF">
      <w:pPr>
        <w:numPr>
          <w:ilvl w:val="1"/>
          <w:numId w:val="8"/>
        </w:numPr>
        <w:spacing w:after="0" w:line="240" w:lineRule="auto"/>
        <w:rPr>
          <w:rFonts w:asciiTheme="majorHAnsi" w:hAnsiTheme="majorHAnsi" w:cstheme="majorHAnsi"/>
        </w:rPr>
      </w:pPr>
      <w:r w:rsidRPr="00B5168F">
        <w:rPr>
          <w:rFonts w:asciiTheme="majorHAnsi" w:hAnsiTheme="majorHAnsi" w:cstheme="majorHAnsi"/>
        </w:rPr>
        <w:t>Spécifications</w:t>
      </w:r>
      <w:r w:rsidR="00B5168F" w:rsidRPr="00B5168F">
        <w:rPr>
          <w:rFonts w:asciiTheme="majorHAnsi" w:hAnsiTheme="majorHAnsi" w:cstheme="majorHAnsi"/>
        </w:rPr>
        <w:t xml:space="preserve"> matérielles et logicielles,</w:t>
      </w:r>
    </w:p>
    <w:p w14:paraId="6238635F" w14:textId="3494FA45" w:rsidR="00B5168F" w:rsidRPr="00B5168F" w:rsidRDefault="00127EEF" w:rsidP="00127EEF">
      <w:pPr>
        <w:numPr>
          <w:ilvl w:val="1"/>
          <w:numId w:val="8"/>
        </w:numPr>
        <w:spacing w:after="0" w:line="240" w:lineRule="auto"/>
        <w:rPr>
          <w:rFonts w:asciiTheme="majorHAnsi" w:hAnsiTheme="majorHAnsi" w:cstheme="majorHAnsi"/>
        </w:rPr>
      </w:pPr>
      <w:r w:rsidRPr="00B5168F">
        <w:rPr>
          <w:rFonts w:asciiTheme="majorHAnsi" w:hAnsiTheme="majorHAnsi" w:cstheme="majorHAnsi"/>
        </w:rPr>
        <w:t>Procédures</w:t>
      </w:r>
      <w:r w:rsidR="00B5168F" w:rsidRPr="00B5168F">
        <w:rPr>
          <w:rFonts w:asciiTheme="majorHAnsi" w:hAnsiTheme="majorHAnsi" w:cstheme="majorHAnsi"/>
        </w:rPr>
        <w:t xml:space="preserve"> de bascule / retour arrière,</w:t>
      </w:r>
    </w:p>
    <w:p w14:paraId="28491B70" w14:textId="2FDEA91A" w:rsidR="00B5168F" w:rsidRPr="00B5168F" w:rsidRDefault="00127EEF" w:rsidP="00127EEF">
      <w:pPr>
        <w:numPr>
          <w:ilvl w:val="1"/>
          <w:numId w:val="8"/>
        </w:numPr>
        <w:spacing w:after="0" w:line="240" w:lineRule="auto"/>
        <w:rPr>
          <w:rFonts w:asciiTheme="majorHAnsi" w:hAnsiTheme="majorHAnsi" w:cstheme="majorHAnsi"/>
        </w:rPr>
      </w:pPr>
      <w:r w:rsidRPr="00B5168F">
        <w:rPr>
          <w:rFonts w:asciiTheme="majorHAnsi" w:hAnsiTheme="majorHAnsi" w:cstheme="majorHAnsi"/>
        </w:rPr>
        <w:t>Dossiers</w:t>
      </w:r>
      <w:r w:rsidR="00B5168F" w:rsidRPr="00B5168F">
        <w:rPr>
          <w:rFonts w:asciiTheme="majorHAnsi" w:hAnsiTheme="majorHAnsi" w:cstheme="majorHAnsi"/>
        </w:rPr>
        <w:t xml:space="preserve"> de tests, rapports de recettes,</w:t>
      </w:r>
    </w:p>
    <w:p w14:paraId="17AE6F0F" w14:textId="781124E0" w:rsidR="00B5168F" w:rsidRPr="00B5168F" w:rsidRDefault="00127EEF" w:rsidP="00127EEF">
      <w:pPr>
        <w:numPr>
          <w:ilvl w:val="1"/>
          <w:numId w:val="8"/>
        </w:numPr>
        <w:spacing w:after="0" w:line="240" w:lineRule="auto"/>
        <w:rPr>
          <w:rFonts w:asciiTheme="majorHAnsi" w:hAnsiTheme="majorHAnsi" w:cstheme="majorHAnsi"/>
        </w:rPr>
      </w:pPr>
      <w:r w:rsidRPr="00B5168F">
        <w:rPr>
          <w:rFonts w:asciiTheme="majorHAnsi" w:hAnsiTheme="majorHAnsi" w:cstheme="majorHAnsi"/>
        </w:rPr>
        <w:t>Dossiers</w:t>
      </w:r>
      <w:r w:rsidR="00B5168F" w:rsidRPr="00B5168F">
        <w:rPr>
          <w:rFonts w:asciiTheme="majorHAnsi" w:hAnsiTheme="majorHAnsi" w:cstheme="majorHAnsi"/>
        </w:rPr>
        <w:t xml:space="preserve"> d’exploitation et de maintenance,</w:t>
      </w:r>
    </w:p>
    <w:p w14:paraId="19E73DFC" w14:textId="77777777" w:rsidR="00B5168F" w:rsidRPr="00B5168F" w:rsidRDefault="00B5168F" w:rsidP="00127EEF">
      <w:pPr>
        <w:numPr>
          <w:ilvl w:val="0"/>
          <w:numId w:val="5"/>
        </w:numPr>
        <w:spacing w:after="0" w:line="240" w:lineRule="auto"/>
        <w:rPr>
          <w:rFonts w:asciiTheme="majorHAnsi" w:hAnsiTheme="majorHAnsi" w:cstheme="majorHAnsi"/>
        </w:rPr>
      </w:pPr>
      <w:r w:rsidRPr="00B5168F">
        <w:rPr>
          <w:rFonts w:asciiTheme="majorHAnsi" w:hAnsiTheme="majorHAnsi" w:cstheme="majorHAnsi"/>
        </w:rPr>
        <w:t>Proposer un </w:t>
      </w:r>
      <w:r w:rsidRPr="00B5168F">
        <w:rPr>
          <w:rFonts w:asciiTheme="majorHAnsi" w:hAnsiTheme="majorHAnsi" w:cstheme="majorHAnsi"/>
          <w:b/>
          <w:bCs/>
        </w:rPr>
        <w:t>chiffrage détaillé</w:t>
      </w:r>
      <w:r w:rsidRPr="00B5168F">
        <w:rPr>
          <w:rFonts w:asciiTheme="majorHAnsi" w:hAnsiTheme="majorHAnsi" w:cstheme="majorHAnsi"/>
        </w:rPr>
        <w:t> (études – fournitures – travaux) et un </w:t>
      </w:r>
      <w:r w:rsidRPr="00B5168F">
        <w:rPr>
          <w:rFonts w:asciiTheme="majorHAnsi" w:hAnsiTheme="majorHAnsi" w:cstheme="majorHAnsi"/>
          <w:b/>
          <w:bCs/>
        </w:rPr>
        <w:t>planning</w:t>
      </w:r>
      <w:r w:rsidRPr="00B5168F">
        <w:rPr>
          <w:rFonts w:asciiTheme="majorHAnsi" w:hAnsiTheme="majorHAnsi" w:cstheme="majorHAnsi"/>
        </w:rPr>
        <w:t> réaliste et cohérent avec celui du Module 1.</w:t>
      </w:r>
    </w:p>
    <w:p w14:paraId="5741B47A" w14:textId="525F358D" w:rsidR="00B5168F" w:rsidRPr="00B5168F" w:rsidRDefault="00B5168F" w:rsidP="00127EEF">
      <w:pPr>
        <w:spacing w:line="240" w:lineRule="auto"/>
        <w:rPr>
          <w:rFonts w:asciiTheme="majorHAnsi" w:hAnsiTheme="majorHAnsi" w:cstheme="majorHAnsi"/>
        </w:rPr>
      </w:pPr>
    </w:p>
    <w:p w14:paraId="0EB5948D" w14:textId="77777777" w:rsidR="00B5168F" w:rsidRPr="00B5168F" w:rsidRDefault="00B5168F" w:rsidP="00127EEF">
      <w:pPr>
        <w:spacing w:line="240" w:lineRule="auto"/>
        <w:ind w:left="360"/>
        <w:rPr>
          <w:rFonts w:asciiTheme="majorHAnsi" w:hAnsiTheme="majorHAnsi" w:cstheme="majorHAnsi"/>
          <w:b/>
          <w:bCs/>
          <w:color w:val="0070C0"/>
        </w:rPr>
      </w:pPr>
      <w:r w:rsidRPr="00B5168F">
        <w:rPr>
          <w:rFonts w:asciiTheme="majorHAnsi" w:hAnsiTheme="majorHAnsi" w:cstheme="majorHAnsi"/>
          <w:b/>
          <w:bCs/>
          <w:color w:val="0070C0"/>
        </w:rPr>
        <w:t>4. Contraintes générales et compétences attendues</w:t>
      </w:r>
    </w:p>
    <w:p w14:paraId="67108BBC" w14:textId="61F8CA67" w:rsidR="00B5168F" w:rsidRPr="00B5168F" w:rsidRDefault="00B5168F" w:rsidP="00127EEF">
      <w:pPr>
        <w:numPr>
          <w:ilvl w:val="0"/>
          <w:numId w:val="6"/>
        </w:numPr>
        <w:spacing w:after="0" w:line="240" w:lineRule="auto"/>
        <w:rPr>
          <w:rFonts w:asciiTheme="majorHAnsi" w:hAnsiTheme="majorHAnsi" w:cstheme="majorHAnsi"/>
        </w:rPr>
      </w:pPr>
      <w:r w:rsidRPr="00B5168F">
        <w:rPr>
          <w:rFonts w:asciiTheme="majorHAnsi" w:hAnsiTheme="majorHAnsi" w:cstheme="majorHAnsi"/>
        </w:rPr>
        <w:t>Les travaux se dérouleront sur un poste HTB avec station HVDC en exploitation.</w:t>
      </w:r>
      <w:r w:rsidRPr="00B5168F">
        <w:rPr>
          <w:rFonts w:asciiTheme="majorHAnsi" w:hAnsiTheme="majorHAnsi" w:cstheme="majorHAnsi"/>
        </w:rPr>
        <w:br/>
        <w:t>Les interventions seront </w:t>
      </w:r>
      <w:r w:rsidRPr="00B5168F">
        <w:rPr>
          <w:rFonts w:asciiTheme="majorHAnsi" w:hAnsiTheme="majorHAnsi" w:cstheme="majorHAnsi"/>
          <w:b/>
          <w:bCs/>
        </w:rPr>
        <w:t>prioritairement planifiées lors des arrêts annuels</w:t>
      </w:r>
      <w:r w:rsidRPr="00B5168F">
        <w:rPr>
          <w:rFonts w:asciiTheme="majorHAnsi" w:hAnsiTheme="majorHAnsi" w:cstheme="majorHAnsi"/>
        </w:rPr>
        <w:t> de la station, communiqués par RTE</w:t>
      </w:r>
      <w:r w:rsidR="001A0848">
        <w:rPr>
          <w:rFonts w:asciiTheme="majorHAnsi" w:hAnsiTheme="majorHAnsi" w:cstheme="majorHAnsi"/>
        </w:rPr>
        <w:t>.</w:t>
      </w:r>
    </w:p>
    <w:p w14:paraId="00CD9314" w14:textId="4BF303D1" w:rsidR="00B5168F" w:rsidRPr="00B5168F" w:rsidRDefault="00B5168F" w:rsidP="00127EEF">
      <w:pPr>
        <w:numPr>
          <w:ilvl w:val="0"/>
          <w:numId w:val="6"/>
        </w:numPr>
        <w:spacing w:after="0" w:line="240" w:lineRule="auto"/>
        <w:rPr>
          <w:rFonts w:asciiTheme="majorHAnsi" w:hAnsiTheme="majorHAnsi" w:cstheme="majorHAnsi"/>
        </w:rPr>
      </w:pPr>
      <w:r w:rsidRPr="00B5168F">
        <w:rPr>
          <w:rFonts w:asciiTheme="majorHAnsi" w:hAnsiTheme="majorHAnsi" w:cstheme="majorHAnsi"/>
        </w:rPr>
        <w:t>Le titulaire devra respecter l’ensemble des </w:t>
      </w:r>
      <w:r w:rsidRPr="00B5168F">
        <w:rPr>
          <w:rFonts w:asciiTheme="majorHAnsi" w:hAnsiTheme="majorHAnsi" w:cstheme="majorHAnsi"/>
          <w:b/>
          <w:bCs/>
        </w:rPr>
        <w:t>référentiels RTE</w:t>
      </w:r>
      <w:r w:rsidRPr="00B5168F">
        <w:rPr>
          <w:rFonts w:asciiTheme="majorHAnsi" w:hAnsiTheme="majorHAnsi" w:cstheme="majorHAnsi"/>
        </w:rPr>
        <w:t> applicables ainsi que les documents spécifiques à IFA1</w:t>
      </w:r>
      <w:r w:rsidR="001A0848">
        <w:rPr>
          <w:rFonts w:asciiTheme="majorHAnsi" w:hAnsiTheme="majorHAnsi" w:cstheme="majorHAnsi"/>
        </w:rPr>
        <w:t>.</w:t>
      </w:r>
    </w:p>
    <w:p w14:paraId="69900954" w14:textId="77777777" w:rsidR="00B5168F" w:rsidRPr="00B5168F" w:rsidRDefault="00B5168F" w:rsidP="00127EEF">
      <w:pPr>
        <w:numPr>
          <w:ilvl w:val="0"/>
          <w:numId w:val="6"/>
        </w:numPr>
        <w:spacing w:after="0" w:line="240" w:lineRule="auto"/>
        <w:rPr>
          <w:rFonts w:asciiTheme="majorHAnsi" w:hAnsiTheme="majorHAnsi" w:cstheme="majorHAnsi"/>
        </w:rPr>
      </w:pPr>
      <w:r w:rsidRPr="00B5168F">
        <w:rPr>
          <w:rFonts w:asciiTheme="majorHAnsi" w:hAnsiTheme="majorHAnsi" w:cstheme="majorHAnsi"/>
        </w:rPr>
        <w:t>Le </w:t>
      </w:r>
      <w:proofErr w:type="spellStart"/>
      <w:r w:rsidRPr="00B5168F">
        <w:rPr>
          <w:rFonts w:asciiTheme="majorHAnsi" w:hAnsiTheme="majorHAnsi" w:cstheme="majorHAnsi"/>
          <w:b/>
          <w:bCs/>
        </w:rPr>
        <w:t>Pass</w:t>
      </w:r>
      <w:proofErr w:type="spellEnd"/>
      <w:r w:rsidRPr="00B5168F">
        <w:rPr>
          <w:rFonts w:asciiTheme="majorHAnsi" w:hAnsiTheme="majorHAnsi" w:cstheme="majorHAnsi"/>
          <w:b/>
          <w:bCs/>
        </w:rPr>
        <w:t xml:space="preserve"> HTB</w:t>
      </w:r>
      <w:r w:rsidRPr="00B5168F">
        <w:rPr>
          <w:rFonts w:asciiTheme="majorHAnsi" w:hAnsiTheme="majorHAnsi" w:cstheme="majorHAnsi"/>
        </w:rPr>
        <w:t> est exigé pour tout personnel intervenant sur le site.</w:t>
      </w:r>
    </w:p>
    <w:p w14:paraId="55C2DC05" w14:textId="77777777" w:rsidR="00B5168F" w:rsidRPr="00B5168F" w:rsidRDefault="00B5168F" w:rsidP="00127EEF">
      <w:pPr>
        <w:numPr>
          <w:ilvl w:val="0"/>
          <w:numId w:val="6"/>
        </w:numPr>
        <w:spacing w:after="0" w:line="240" w:lineRule="auto"/>
        <w:rPr>
          <w:rFonts w:asciiTheme="majorHAnsi" w:hAnsiTheme="majorHAnsi" w:cstheme="majorHAnsi"/>
        </w:rPr>
      </w:pPr>
      <w:r w:rsidRPr="00B5168F">
        <w:rPr>
          <w:rFonts w:asciiTheme="majorHAnsi" w:hAnsiTheme="majorHAnsi" w:cstheme="majorHAnsi"/>
        </w:rPr>
        <w:t>Des </w:t>
      </w:r>
      <w:r w:rsidRPr="00B5168F">
        <w:rPr>
          <w:rFonts w:asciiTheme="majorHAnsi" w:hAnsiTheme="majorHAnsi" w:cstheme="majorHAnsi"/>
          <w:b/>
          <w:bCs/>
        </w:rPr>
        <w:t>enquêtes administratives</w:t>
      </w:r>
      <w:r w:rsidRPr="00B5168F">
        <w:rPr>
          <w:rFonts w:asciiTheme="majorHAnsi" w:hAnsiTheme="majorHAnsi" w:cstheme="majorHAnsi"/>
        </w:rPr>
        <w:t> peuvent être requises pour accéder à des installations sensibles.</w:t>
      </w:r>
    </w:p>
    <w:p w14:paraId="2F7F7E77" w14:textId="77777777" w:rsidR="00B5168F" w:rsidRPr="00B5168F" w:rsidRDefault="00B5168F" w:rsidP="00127EEF">
      <w:pPr>
        <w:numPr>
          <w:ilvl w:val="0"/>
          <w:numId w:val="6"/>
        </w:numPr>
        <w:spacing w:after="0" w:line="240" w:lineRule="auto"/>
        <w:rPr>
          <w:rFonts w:asciiTheme="majorHAnsi" w:hAnsiTheme="majorHAnsi" w:cstheme="majorHAnsi"/>
        </w:rPr>
      </w:pPr>
      <w:r w:rsidRPr="00B5168F">
        <w:rPr>
          <w:rFonts w:asciiTheme="majorHAnsi" w:hAnsiTheme="majorHAnsi" w:cstheme="majorHAnsi"/>
        </w:rPr>
        <w:t>Les compétences attendues portent principalement sur :</w:t>
      </w:r>
    </w:p>
    <w:p w14:paraId="49235C1E" w14:textId="77777777" w:rsidR="00B5168F" w:rsidRPr="00B5168F" w:rsidRDefault="00B5168F" w:rsidP="00127EEF">
      <w:pPr>
        <w:numPr>
          <w:ilvl w:val="1"/>
          <w:numId w:val="9"/>
        </w:numPr>
        <w:spacing w:after="0" w:line="240" w:lineRule="auto"/>
        <w:rPr>
          <w:rFonts w:asciiTheme="majorHAnsi" w:hAnsiTheme="majorHAnsi" w:cstheme="majorHAnsi"/>
        </w:rPr>
      </w:pPr>
      <w:r w:rsidRPr="00B5168F">
        <w:rPr>
          <w:rFonts w:asciiTheme="majorHAnsi" w:hAnsiTheme="majorHAnsi" w:cstheme="majorHAnsi"/>
          <w:b/>
          <w:bCs/>
        </w:rPr>
        <w:t>Architectures réseau industrielles</w:t>
      </w:r>
      <w:r w:rsidRPr="00B5168F">
        <w:rPr>
          <w:rFonts w:asciiTheme="majorHAnsi" w:hAnsiTheme="majorHAnsi" w:cstheme="majorHAnsi"/>
        </w:rPr>
        <w:t>,</w:t>
      </w:r>
    </w:p>
    <w:p w14:paraId="6C91D046" w14:textId="77777777" w:rsidR="00B5168F" w:rsidRPr="00B5168F" w:rsidRDefault="00B5168F" w:rsidP="00127EEF">
      <w:pPr>
        <w:numPr>
          <w:ilvl w:val="1"/>
          <w:numId w:val="9"/>
        </w:numPr>
        <w:spacing w:after="0" w:line="240" w:lineRule="auto"/>
        <w:rPr>
          <w:rFonts w:asciiTheme="majorHAnsi" w:hAnsiTheme="majorHAnsi" w:cstheme="majorHAnsi"/>
        </w:rPr>
      </w:pPr>
      <w:r w:rsidRPr="00B5168F">
        <w:rPr>
          <w:rFonts w:asciiTheme="majorHAnsi" w:hAnsiTheme="majorHAnsi" w:cstheme="majorHAnsi"/>
          <w:b/>
          <w:bCs/>
        </w:rPr>
        <w:t>Systèmes de virtualisation</w:t>
      </w:r>
      <w:r w:rsidRPr="00B5168F">
        <w:rPr>
          <w:rFonts w:asciiTheme="majorHAnsi" w:hAnsiTheme="majorHAnsi" w:cstheme="majorHAnsi"/>
        </w:rPr>
        <w:t>,</w:t>
      </w:r>
    </w:p>
    <w:p w14:paraId="30F0046B" w14:textId="44E6587E" w:rsidR="00B5168F" w:rsidRPr="00B5168F" w:rsidRDefault="00B5168F" w:rsidP="00127EEF">
      <w:pPr>
        <w:numPr>
          <w:ilvl w:val="1"/>
          <w:numId w:val="9"/>
        </w:numPr>
        <w:spacing w:after="0" w:line="240" w:lineRule="auto"/>
        <w:rPr>
          <w:rFonts w:asciiTheme="majorHAnsi" w:hAnsiTheme="majorHAnsi" w:cstheme="majorHAnsi"/>
        </w:rPr>
      </w:pPr>
      <w:r w:rsidRPr="00B5168F">
        <w:rPr>
          <w:rFonts w:asciiTheme="majorHAnsi" w:hAnsiTheme="majorHAnsi" w:cstheme="majorHAnsi"/>
          <w:b/>
          <w:bCs/>
        </w:rPr>
        <w:t>Intégration IT en environnement industriel</w:t>
      </w:r>
      <w:r w:rsidRPr="00B5168F">
        <w:rPr>
          <w:rFonts w:asciiTheme="majorHAnsi" w:hAnsiTheme="majorHAnsi" w:cstheme="majorHAnsi"/>
        </w:rPr>
        <w:t>,</w:t>
      </w:r>
    </w:p>
    <w:p w14:paraId="02E6416F" w14:textId="77777777" w:rsidR="00B5168F" w:rsidRPr="00B5168F" w:rsidRDefault="00B5168F" w:rsidP="00127EEF">
      <w:pPr>
        <w:numPr>
          <w:ilvl w:val="1"/>
          <w:numId w:val="9"/>
        </w:numPr>
        <w:spacing w:after="0" w:line="240" w:lineRule="auto"/>
        <w:rPr>
          <w:rFonts w:asciiTheme="majorHAnsi" w:hAnsiTheme="majorHAnsi" w:cstheme="majorHAnsi"/>
        </w:rPr>
      </w:pPr>
      <w:r w:rsidRPr="00B5168F">
        <w:rPr>
          <w:rFonts w:asciiTheme="majorHAnsi" w:hAnsiTheme="majorHAnsi" w:cstheme="majorHAnsi"/>
        </w:rPr>
        <w:t>Gestion de projets en environnement contraint (planning lié aux arrêts d’ouvrage, coordination avec exploitation).</w:t>
      </w:r>
    </w:p>
    <w:p w14:paraId="2C514DD2" w14:textId="77777777" w:rsidR="000C09BD" w:rsidRPr="005863CE" w:rsidRDefault="000C09BD" w:rsidP="00127EEF">
      <w:pPr>
        <w:spacing w:line="240" w:lineRule="auto"/>
        <w:rPr>
          <w:rFonts w:asciiTheme="majorHAnsi" w:hAnsiTheme="majorHAnsi" w:cstheme="majorHAnsi"/>
        </w:rPr>
      </w:pPr>
    </w:p>
    <w:sectPr w:rsidR="000C09BD" w:rsidRPr="005863C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6AB9F" w14:textId="77777777" w:rsidR="009B69F2" w:rsidRDefault="009B69F2" w:rsidP="005863CE">
      <w:pPr>
        <w:spacing w:after="0" w:line="240" w:lineRule="auto"/>
      </w:pPr>
      <w:r>
        <w:separator/>
      </w:r>
    </w:p>
  </w:endnote>
  <w:endnote w:type="continuationSeparator" w:id="0">
    <w:p w14:paraId="143B0079" w14:textId="77777777" w:rsidR="009B69F2" w:rsidRDefault="009B69F2" w:rsidP="00586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01F1" w14:textId="77777777" w:rsidR="009B69F2" w:rsidRDefault="009B69F2" w:rsidP="005863CE">
      <w:pPr>
        <w:spacing w:after="0" w:line="240" w:lineRule="auto"/>
      </w:pPr>
      <w:r>
        <w:separator/>
      </w:r>
    </w:p>
  </w:footnote>
  <w:footnote w:type="continuationSeparator" w:id="0">
    <w:p w14:paraId="52C6B466" w14:textId="77777777" w:rsidR="009B69F2" w:rsidRDefault="009B69F2" w:rsidP="00586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CC59" w14:textId="48816E30" w:rsidR="005863CE" w:rsidRDefault="005863CE">
    <w:pPr>
      <w:pStyle w:val="En-tte"/>
    </w:pPr>
    <w:r>
      <w:rPr>
        <w:noProof/>
      </w:rPr>
      <w:drawing>
        <wp:anchor distT="0" distB="0" distL="114300" distR="114300" simplePos="0" relativeHeight="251659264" behindDoc="0" locked="0" layoutInCell="1" allowOverlap="1" wp14:anchorId="286D0925" wp14:editId="0FACAA1A">
          <wp:simplePos x="0" y="0"/>
          <wp:positionH relativeFrom="column">
            <wp:posOffset>-644056</wp:posOffset>
          </wp:positionH>
          <wp:positionV relativeFrom="paragraph">
            <wp:posOffset>-318687</wp:posOffset>
          </wp:positionV>
          <wp:extent cx="528320" cy="528320"/>
          <wp:effectExtent l="0" t="0" r="5080" b="5080"/>
          <wp:wrapNone/>
          <wp:docPr id="1681800237" name="Image 1" descr="Une image contenant texte, logo,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00237" name="Image 1" descr="Une image contenant texte, logo, Police, cercle&#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883"/>
    <w:multiLevelType w:val="multilevel"/>
    <w:tmpl w:val="6EBEFB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Wingdings" w:hAnsi="Wingding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A570E"/>
    <w:multiLevelType w:val="multilevel"/>
    <w:tmpl w:val="DC02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C87396"/>
    <w:multiLevelType w:val="multilevel"/>
    <w:tmpl w:val="24F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2C290A"/>
    <w:multiLevelType w:val="multilevel"/>
    <w:tmpl w:val="1AE87F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ED379D"/>
    <w:multiLevelType w:val="multilevel"/>
    <w:tmpl w:val="7B5E59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0E1392"/>
    <w:multiLevelType w:val="multilevel"/>
    <w:tmpl w:val="0AF4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59010A"/>
    <w:multiLevelType w:val="multilevel"/>
    <w:tmpl w:val="DD8E3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2E119C"/>
    <w:multiLevelType w:val="multilevel"/>
    <w:tmpl w:val="2FA8B5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673C4F"/>
    <w:multiLevelType w:val="multilevel"/>
    <w:tmpl w:val="C996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0C3F36"/>
    <w:multiLevelType w:val="multilevel"/>
    <w:tmpl w:val="83D4C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9207594">
    <w:abstractNumId w:val="2"/>
  </w:num>
  <w:num w:numId="2" w16cid:durableId="835682128">
    <w:abstractNumId w:val="1"/>
  </w:num>
  <w:num w:numId="3" w16cid:durableId="155996897">
    <w:abstractNumId w:val="8"/>
  </w:num>
  <w:num w:numId="4" w16cid:durableId="217131266">
    <w:abstractNumId w:val="4"/>
  </w:num>
  <w:num w:numId="5" w16cid:durableId="814492118">
    <w:abstractNumId w:val="9"/>
  </w:num>
  <w:num w:numId="6" w16cid:durableId="155193199">
    <w:abstractNumId w:val="3"/>
  </w:num>
  <w:num w:numId="7" w16cid:durableId="616328243">
    <w:abstractNumId w:val="5"/>
  </w:num>
  <w:num w:numId="8" w16cid:durableId="884633317">
    <w:abstractNumId w:val="7"/>
  </w:num>
  <w:num w:numId="9" w16cid:durableId="2035768522">
    <w:abstractNumId w:val="6"/>
  </w:num>
  <w:num w:numId="10" w16cid:durableId="118832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8F"/>
    <w:rsid w:val="000C077E"/>
    <w:rsid w:val="000C09BD"/>
    <w:rsid w:val="000D7310"/>
    <w:rsid w:val="00127EEF"/>
    <w:rsid w:val="001A0848"/>
    <w:rsid w:val="003E5B79"/>
    <w:rsid w:val="00400FB2"/>
    <w:rsid w:val="00484347"/>
    <w:rsid w:val="005863CE"/>
    <w:rsid w:val="006F4436"/>
    <w:rsid w:val="00757759"/>
    <w:rsid w:val="008E3450"/>
    <w:rsid w:val="00966E4D"/>
    <w:rsid w:val="009B4CEC"/>
    <w:rsid w:val="009B69F2"/>
    <w:rsid w:val="009F36B0"/>
    <w:rsid w:val="00A72E43"/>
    <w:rsid w:val="00B5168F"/>
    <w:rsid w:val="00BD559D"/>
    <w:rsid w:val="00C04FCF"/>
    <w:rsid w:val="00C247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48A4"/>
  <w15:chartTrackingRefBased/>
  <w15:docId w15:val="{5CC817D3-6CD7-4BB7-BBB7-9B818A83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5B79"/>
    <w:pPr>
      <w:keepNext/>
      <w:keepLines/>
      <w:spacing w:before="360" w:after="80"/>
      <w:outlineLvl w:val="0"/>
    </w:pPr>
    <w:rPr>
      <w:rFonts w:asciiTheme="majorHAnsi" w:eastAsiaTheme="majorEastAsia" w:hAnsiTheme="majorHAnsi" w:cstheme="majorBidi"/>
      <w:color w:val="00766A" w:themeColor="accent1" w:themeShade="BF"/>
      <w:sz w:val="40"/>
      <w:szCs w:val="40"/>
    </w:rPr>
  </w:style>
  <w:style w:type="paragraph" w:styleId="Titre2">
    <w:name w:val="heading 2"/>
    <w:basedOn w:val="Normal"/>
    <w:next w:val="Normal"/>
    <w:link w:val="Titre2Car"/>
    <w:uiPriority w:val="9"/>
    <w:semiHidden/>
    <w:unhideWhenUsed/>
    <w:qFormat/>
    <w:rsid w:val="003E5B79"/>
    <w:pPr>
      <w:keepNext/>
      <w:keepLines/>
      <w:spacing w:before="160" w:after="80"/>
      <w:outlineLvl w:val="1"/>
    </w:pPr>
    <w:rPr>
      <w:rFonts w:asciiTheme="majorHAnsi" w:eastAsiaTheme="majorEastAsia" w:hAnsiTheme="majorHAnsi" w:cstheme="majorBidi"/>
      <w:color w:val="00766A" w:themeColor="accent1" w:themeShade="BF"/>
      <w:sz w:val="32"/>
      <w:szCs w:val="32"/>
    </w:rPr>
  </w:style>
  <w:style w:type="paragraph" w:styleId="Titre3">
    <w:name w:val="heading 3"/>
    <w:basedOn w:val="Normal"/>
    <w:next w:val="Normal"/>
    <w:link w:val="Titre3Car"/>
    <w:uiPriority w:val="9"/>
    <w:semiHidden/>
    <w:unhideWhenUsed/>
    <w:qFormat/>
    <w:rsid w:val="003E5B79"/>
    <w:pPr>
      <w:keepNext/>
      <w:keepLines/>
      <w:spacing w:before="160" w:after="80"/>
      <w:outlineLvl w:val="2"/>
    </w:pPr>
    <w:rPr>
      <w:rFonts w:asciiTheme="minorHAnsi" w:eastAsiaTheme="majorEastAsia" w:hAnsiTheme="minorHAnsi" w:cstheme="majorBidi"/>
      <w:color w:val="00766A" w:themeColor="accent1" w:themeShade="BF"/>
      <w:sz w:val="28"/>
      <w:szCs w:val="28"/>
    </w:rPr>
  </w:style>
  <w:style w:type="paragraph" w:styleId="Titre4">
    <w:name w:val="heading 4"/>
    <w:basedOn w:val="Normal"/>
    <w:next w:val="Normal"/>
    <w:link w:val="Titre4Car"/>
    <w:uiPriority w:val="9"/>
    <w:semiHidden/>
    <w:unhideWhenUsed/>
    <w:qFormat/>
    <w:rsid w:val="003E5B79"/>
    <w:pPr>
      <w:keepNext/>
      <w:keepLines/>
      <w:spacing w:before="80" w:after="40"/>
      <w:outlineLvl w:val="3"/>
    </w:pPr>
    <w:rPr>
      <w:rFonts w:asciiTheme="minorHAnsi" w:eastAsiaTheme="majorEastAsia" w:hAnsiTheme="minorHAnsi" w:cstheme="majorBidi"/>
      <w:i/>
      <w:iCs/>
      <w:color w:val="00766A" w:themeColor="accent1" w:themeShade="BF"/>
    </w:rPr>
  </w:style>
  <w:style w:type="paragraph" w:styleId="Titre5">
    <w:name w:val="heading 5"/>
    <w:basedOn w:val="Normal"/>
    <w:next w:val="Normal"/>
    <w:link w:val="Titre5Car"/>
    <w:uiPriority w:val="9"/>
    <w:semiHidden/>
    <w:unhideWhenUsed/>
    <w:qFormat/>
    <w:rsid w:val="003E5B79"/>
    <w:pPr>
      <w:keepNext/>
      <w:keepLines/>
      <w:spacing w:before="80" w:after="40"/>
      <w:outlineLvl w:val="4"/>
    </w:pPr>
    <w:rPr>
      <w:rFonts w:asciiTheme="minorHAnsi" w:eastAsiaTheme="majorEastAsia" w:hAnsiTheme="minorHAnsi" w:cstheme="majorBidi"/>
      <w:color w:val="00766A" w:themeColor="accent1" w:themeShade="BF"/>
    </w:rPr>
  </w:style>
  <w:style w:type="paragraph" w:styleId="Titre6">
    <w:name w:val="heading 6"/>
    <w:basedOn w:val="Normal"/>
    <w:next w:val="Normal"/>
    <w:link w:val="Titre6Car"/>
    <w:uiPriority w:val="9"/>
    <w:semiHidden/>
    <w:unhideWhenUsed/>
    <w:qFormat/>
    <w:rsid w:val="003E5B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E5B7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E5B7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E5B7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5B79"/>
    <w:rPr>
      <w:rFonts w:asciiTheme="majorHAnsi" w:eastAsiaTheme="majorEastAsia" w:hAnsiTheme="majorHAnsi" w:cstheme="majorBidi"/>
      <w:color w:val="00766A" w:themeColor="accent1" w:themeShade="BF"/>
      <w:sz w:val="40"/>
      <w:szCs w:val="40"/>
    </w:rPr>
  </w:style>
  <w:style w:type="character" w:customStyle="1" w:styleId="Titre2Car">
    <w:name w:val="Titre 2 Car"/>
    <w:basedOn w:val="Policepardfaut"/>
    <w:link w:val="Titre2"/>
    <w:uiPriority w:val="9"/>
    <w:semiHidden/>
    <w:rsid w:val="003E5B79"/>
    <w:rPr>
      <w:rFonts w:asciiTheme="majorHAnsi" w:eastAsiaTheme="majorEastAsia" w:hAnsiTheme="majorHAnsi" w:cstheme="majorBidi"/>
      <w:color w:val="00766A" w:themeColor="accent1" w:themeShade="BF"/>
      <w:sz w:val="32"/>
      <w:szCs w:val="32"/>
    </w:rPr>
  </w:style>
  <w:style w:type="character" w:customStyle="1" w:styleId="Titre3Car">
    <w:name w:val="Titre 3 Car"/>
    <w:basedOn w:val="Policepardfaut"/>
    <w:link w:val="Titre3"/>
    <w:uiPriority w:val="9"/>
    <w:semiHidden/>
    <w:rsid w:val="003E5B79"/>
    <w:rPr>
      <w:rFonts w:asciiTheme="minorHAnsi" w:eastAsiaTheme="majorEastAsia" w:hAnsiTheme="minorHAnsi" w:cstheme="majorBidi"/>
      <w:color w:val="00766A" w:themeColor="accent1" w:themeShade="BF"/>
      <w:sz w:val="28"/>
      <w:szCs w:val="28"/>
    </w:rPr>
  </w:style>
  <w:style w:type="character" w:customStyle="1" w:styleId="Titre4Car">
    <w:name w:val="Titre 4 Car"/>
    <w:basedOn w:val="Policepardfaut"/>
    <w:link w:val="Titre4"/>
    <w:uiPriority w:val="9"/>
    <w:semiHidden/>
    <w:rsid w:val="003E5B79"/>
    <w:rPr>
      <w:rFonts w:asciiTheme="minorHAnsi" w:eastAsiaTheme="majorEastAsia" w:hAnsiTheme="minorHAnsi" w:cstheme="majorBidi"/>
      <w:i/>
      <w:iCs/>
      <w:color w:val="00766A" w:themeColor="accent1" w:themeShade="BF"/>
    </w:rPr>
  </w:style>
  <w:style w:type="character" w:customStyle="1" w:styleId="Titre5Car">
    <w:name w:val="Titre 5 Car"/>
    <w:basedOn w:val="Policepardfaut"/>
    <w:link w:val="Titre5"/>
    <w:uiPriority w:val="9"/>
    <w:semiHidden/>
    <w:rsid w:val="003E5B79"/>
    <w:rPr>
      <w:rFonts w:asciiTheme="minorHAnsi" w:eastAsiaTheme="majorEastAsia" w:hAnsiTheme="minorHAnsi" w:cstheme="majorBidi"/>
      <w:color w:val="00766A" w:themeColor="accent1" w:themeShade="BF"/>
    </w:rPr>
  </w:style>
  <w:style w:type="character" w:customStyle="1" w:styleId="Titre6Car">
    <w:name w:val="Titre 6 Car"/>
    <w:basedOn w:val="Policepardfaut"/>
    <w:link w:val="Titre6"/>
    <w:uiPriority w:val="9"/>
    <w:semiHidden/>
    <w:rsid w:val="003E5B7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E5B7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E5B7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E5B79"/>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E5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5B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5B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5B7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E5B79"/>
    <w:pPr>
      <w:spacing w:before="160"/>
      <w:jc w:val="center"/>
    </w:pPr>
    <w:rPr>
      <w:i/>
      <w:iCs/>
      <w:color w:val="404040" w:themeColor="text1" w:themeTint="BF"/>
    </w:rPr>
  </w:style>
  <w:style w:type="character" w:customStyle="1" w:styleId="CitationCar">
    <w:name w:val="Citation Car"/>
    <w:basedOn w:val="Policepardfaut"/>
    <w:link w:val="Citation"/>
    <w:uiPriority w:val="29"/>
    <w:rsid w:val="003E5B79"/>
    <w:rPr>
      <w:i/>
      <w:iCs/>
      <w:color w:val="404040" w:themeColor="text1" w:themeTint="BF"/>
    </w:rPr>
  </w:style>
  <w:style w:type="paragraph" w:styleId="Paragraphedeliste">
    <w:name w:val="List Paragraph"/>
    <w:basedOn w:val="Normal"/>
    <w:uiPriority w:val="34"/>
    <w:qFormat/>
    <w:rsid w:val="003E5B79"/>
    <w:pPr>
      <w:ind w:left="720"/>
      <w:contextualSpacing/>
    </w:pPr>
  </w:style>
  <w:style w:type="character" w:styleId="Accentuationintense">
    <w:name w:val="Intense Emphasis"/>
    <w:basedOn w:val="Policepardfaut"/>
    <w:uiPriority w:val="21"/>
    <w:qFormat/>
    <w:rsid w:val="003E5B79"/>
    <w:rPr>
      <w:i/>
      <w:iCs/>
      <w:color w:val="00766A" w:themeColor="accent1" w:themeShade="BF"/>
    </w:rPr>
  </w:style>
  <w:style w:type="paragraph" w:styleId="Citationintense">
    <w:name w:val="Intense Quote"/>
    <w:basedOn w:val="Normal"/>
    <w:next w:val="Normal"/>
    <w:link w:val="CitationintenseCar"/>
    <w:uiPriority w:val="30"/>
    <w:qFormat/>
    <w:rsid w:val="003E5B79"/>
    <w:pPr>
      <w:pBdr>
        <w:top w:val="single" w:sz="4" w:space="10" w:color="00766A" w:themeColor="accent1" w:themeShade="BF"/>
        <w:bottom w:val="single" w:sz="4" w:space="10" w:color="00766A" w:themeColor="accent1" w:themeShade="BF"/>
      </w:pBdr>
      <w:spacing w:before="360" w:after="360"/>
      <w:ind w:left="864" w:right="864"/>
      <w:jc w:val="center"/>
    </w:pPr>
    <w:rPr>
      <w:i/>
      <w:iCs/>
      <w:color w:val="00766A" w:themeColor="accent1" w:themeShade="BF"/>
    </w:rPr>
  </w:style>
  <w:style w:type="character" w:customStyle="1" w:styleId="CitationintenseCar">
    <w:name w:val="Citation intense Car"/>
    <w:basedOn w:val="Policepardfaut"/>
    <w:link w:val="Citationintense"/>
    <w:uiPriority w:val="30"/>
    <w:rsid w:val="003E5B79"/>
    <w:rPr>
      <w:i/>
      <w:iCs/>
      <w:color w:val="00766A" w:themeColor="accent1" w:themeShade="BF"/>
    </w:rPr>
  </w:style>
  <w:style w:type="character" w:styleId="Rfrenceintense">
    <w:name w:val="Intense Reference"/>
    <w:basedOn w:val="Policepardfaut"/>
    <w:uiPriority w:val="32"/>
    <w:qFormat/>
    <w:rsid w:val="003E5B79"/>
    <w:rPr>
      <w:b/>
      <w:bCs/>
      <w:smallCaps/>
      <w:color w:val="00766A" w:themeColor="accent1" w:themeShade="BF"/>
      <w:spacing w:val="5"/>
    </w:rPr>
  </w:style>
  <w:style w:type="table" w:styleId="Grilledutableau">
    <w:name w:val="Table Grid"/>
    <w:basedOn w:val="TableauNormal"/>
    <w:rsid w:val="005863C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863CE"/>
    <w:pPr>
      <w:tabs>
        <w:tab w:val="center" w:pos="4536"/>
        <w:tab w:val="right" w:pos="9072"/>
      </w:tabs>
      <w:spacing w:after="0" w:line="240" w:lineRule="auto"/>
    </w:pPr>
  </w:style>
  <w:style w:type="character" w:customStyle="1" w:styleId="En-tteCar">
    <w:name w:val="En-tête Car"/>
    <w:basedOn w:val="Policepardfaut"/>
    <w:link w:val="En-tte"/>
    <w:uiPriority w:val="99"/>
    <w:rsid w:val="005863CE"/>
  </w:style>
  <w:style w:type="paragraph" w:styleId="Pieddepage">
    <w:name w:val="footer"/>
    <w:basedOn w:val="Normal"/>
    <w:link w:val="PieddepageCar"/>
    <w:uiPriority w:val="99"/>
    <w:unhideWhenUsed/>
    <w:rsid w:val="005863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63CE"/>
  </w:style>
  <w:style w:type="character" w:styleId="Marquedecommentaire">
    <w:name w:val="annotation reference"/>
    <w:basedOn w:val="Policepardfaut"/>
    <w:uiPriority w:val="99"/>
    <w:semiHidden/>
    <w:unhideWhenUsed/>
    <w:rsid w:val="009F36B0"/>
    <w:rPr>
      <w:sz w:val="16"/>
      <w:szCs w:val="16"/>
    </w:rPr>
  </w:style>
  <w:style w:type="paragraph" w:styleId="Commentaire">
    <w:name w:val="annotation text"/>
    <w:basedOn w:val="Normal"/>
    <w:link w:val="CommentaireCar"/>
    <w:uiPriority w:val="99"/>
    <w:unhideWhenUsed/>
    <w:rsid w:val="009F36B0"/>
    <w:pPr>
      <w:spacing w:line="240" w:lineRule="auto"/>
    </w:pPr>
    <w:rPr>
      <w:sz w:val="20"/>
      <w:szCs w:val="20"/>
    </w:rPr>
  </w:style>
  <w:style w:type="character" w:customStyle="1" w:styleId="CommentaireCar">
    <w:name w:val="Commentaire Car"/>
    <w:basedOn w:val="Policepardfaut"/>
    <w:link w:val="Commentaire"/>
    <w:uiPriority w:val="99"/>
    <w:rsid w:val="009F36B0"/>
    <w:rPr>
      <w:sz w:val="20"/>
      <w:szCs w:val="20"/>
    </w:rPr>
  </w:style>
  <w:style w:type="paragraph" w:styleId="Objetducommentaire">
    <w:name w:val="annotation subject"/>
    <w:basedOn w:val="Commentaire"/>
    <w:next w:val="Commentaire"/>
    <w:link w:val="ObjetducommentaireCar"/>
    <w:uiPriority w:val="99"/>
    <w:semiHidden/>
    <w:unhideWhenUsed/>
    <w:rsid w:val="009F36B0"/>
    <w:rPr>
      <w:b/>
      <w:bCs/>
    </w:rPr>
  </w:style>
  <w:style w:type="character" w:customStyle="1" w:styleId="ObjetducommentaireCar">
    <w:name w:val="Objet du commentaire Car"/>
    <w:basedOn w:val="CommentaireCar"/>
    <w:link w:val="Objetducommentaire"/>
    <w:uiPriority w:val="99"/>
    <w:semiHidden/>
    <w:rsid w:val="009F36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654161">
      <w:bodyDiv w:val="1"/>
      <w:marLeft w:val="0"/>
      <w:marRight w:val="0"/>
      <w:marTop w:val="0"/>
      <w:marBottom w:val="0"/>
      <w:divBdr>
        <w:top w:val="none" w:sz="0" w:space="0" w:color="auto"/>
        <w:left w:val="none" w:sz="0" w:space="0" w:color="auto"/>
        <w:bottom w:val="none" w:sz="0" w:space="0" w:color="auto"/>
        <w:right w:val="none" w:sz="0" w:space="0" w:color="auto"/>
      </w:divBdr>
    </w:div>
    <w:div w:id="155439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RTE">
  <a:themeElements>
    <a:clrScheme name="RTE">
      <a:dk1>
        <a:srgbClr val="000000"/>
      </a:dk1>
      <a:lt1>
        <a:srgbClr val="FFFFFF"/>
      </a:lt1>
      <a:dk2>
        <a:srgbClr val="3D70AD"/>
      </a:dk2>
      <a:lt2>
        <a:srgbClr val="00A6D9"/>
      </a:lt2>
      <a:accent1>
        <a:srgbClr val="009E8F"/>
      </a:accent1>
      <a:accent2>
        <a:srgbClr val="FFE500"/>
      </a:accent2>
      <a:accent3>
        <a:srgbClr val="EC775C"/>
      </a:accent3>
      <a:accent4>
        <a:srgbClr val="DC0059"/>
      </a:accent4>
      <a:accent5>
        <a:srgbClr val="7D5A9F"/>
      </a:accent5>
      <a:accent6>
        <a:srgbClr val="F6AB4D"/>
      </a:accent6>
      <a:hlink>
        <a:srgbClr val="00A6D9"/>
      </a:hlink>
      <a:folHlink>
        <a:srgbClr val="3D70AD"/>
      </a:folHlink>
    </a:clrScheme>
    <a:fontScheme name="R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854</Words>
  <Characters>4700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RTE</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PLANCHEZ Jean-baptiste</dc:creator>
  <cp:keywords/>
  <dc:description/>
  <cp:lastModifiedBy>PLANCHEZ Jean-baptiste</cp:lastModifiedBy>
  <cp:revision>5</cp:revision>
  <dcterms:created xsi:type="dcterms:W3CDTF">2026-06-25T12:28:00Z</dcterms:created>
  <dcterms:modified xsi:type="dcterms:W3CDTF">2026-06-26T12:37:00Z</dcterms:modified>
</cp:coreProperties>
</file>